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1842" w:rsidRDefault="00BF2941">
      <w:pPr>
        <w:pStyle w:val="BodyText3"/>
        <w:spacing w:before="0" w:after="0"/>
        <w:rPr>
          <w:b w:val="0"/>
          <w:color w:val="auto"/>
          <w:sz w:val="20"/>
          <w:szCs w:val="20"/>
        </w:rPr>
      </w:pPr>
      <w:r>
        <w:rPr>
          <w:rFonts w:ascii="Impact" w:hAnsi="Impact"/>
          <w:b w:val="0"/>
          <w:color w:val="auto"/>
          <w:sz w:val="28"/>
          <w:szCs w:val="28"/>
        </w:rPr>
        <w:t>PAPER TITLE</w:t>
      </w:r>
    </w:p>
    <w:p w:rsidR="00801842" w:rsidRPr="006C34E4" w:rsidRDefault="00801842">
      <w:pPr>
        <w:pStyle w:val="BodyText3"/>
        <w:spacing w:before="0" w:after="0"/>
        <w:rPr>
          <w:b w:val="0"/>
          <w:color w:val="auto"/>
          <w:sz w:val="22"/>
          <w:szCs w:val="22"/>
        </w:rPr>
      </w:pPr>
    </w:p>
    <w:p w:rsidR="00801842" w:rsidRPr="006C34E4" w:rsidRDefault="00801842">
      <w:pPr>
        <w:jc w:val="center"/>
        <w:rPr>
          <w:b/>
          <w:sz w:val="22"/>
          <w:szCs w:val="22"/>
          <w:lang w:val="en-US"/>
        </w:rPr>
      </w:pPr>
    </w:p>
    <w:p w:rsidR="00801842" w:rsidRPr="006C34E4" w:rsidRDefault="00BF2941">
      <w:pPr>
        <w:jc w:val="center"/>
        <w:rPr>
          <w:b/>
          <w:szCs w:val="20"/>
          <w:vertAlign w:val="superscript"/>
          <w:lang w:val="en-US"/>
        </w:rPr>
      </w:pPr>
      <w:r w:rsidRPr="006C34E4">
        <w:rPr>
          <w:b/>
          <w:szCs w:val="20"/>
          <w:lang w:val="en-US"/>
        </w:rPr>
        <w:t>Surname Name</w:t>
      </w:r>
      <w:r w:rsidR="00801842" w:rsidRPr="006C34E4">
        <w:rPr>
          <w:b/>
          <w:szCs w:val="20"/>
          <w:vertAlign w:val="superscript"/>
          <w:lang w:val="en-US"/>
        </w:rPr>
        <w:t>1</w:t>
      </w:r>
      <w:r w:rsidR="00801842" w:rsidRPr="006C34E4">
        <w:rPr>
          <w:b/>
          <w:szCs w:val="20"/>
          <w:lang w:val="en-US"/>
        </w:rPr>
        <w:t xml:space="preserve">, </w:t>
      </w:r>
      <w:r w:rsidRPr="006C34E4">
        <w:rPr>
          <w:b/>
          <w:szCs w:val="20"/>
          <w:lang w:val="en-US"/>
        </w:rPr>
        <w:t>Surname Name</w:t>
      </w:r>
      <w:r w:rsidR="00801842" w:rsidRPr="006C34E4">
        <w:rPr>
          <w:b/>
          <w:szCs w:val="20"/>
          <w:vertAlign w:val="superscript"/>
          <w:lang w:val="en-US"/>
        </w:rPr>
        <w:t>2</w:t>
      </w:r>
      <w:r w:rsidR="00801842" w:rsidRPr="006C34E4">
        <w:rPr>
          <w:b/>
          <w:szCs w:val="20"/>
          <w:lang w:val="en-US"/>
        </w:rPr>
        <w:t xml:space="preserve"> and </w:t>
      </w:r>
      <w:r w:rsidRPr="006C34E4">
        <w:rPr>
          <w:b/>
          <w:szCs w:val="20"/>
          <w:lang w:val="en-US"/>
        </w:rPr>
        <w:t>Surname Name</w:t>
      </w:r>
      <w:r w:rsidR="00801842" w:rsidRPr="006C34E4">
        <w:rPr>
          <w:b/>
          <w:szCs w:val="20"/>
          <w:vertAlign w:val="superscript"/>
          <w:lang w:val="en-US"/>
        </w:rPr>
        <w:t>3</w:t>
      </w:r>
    </w:p>
    <w:p w:rsidR="00801842" w:rsidRPr="006C34E4" w:rsidRDefault="00801842">
      <w:pPr>
        <w:jc w:val="center"/>
        <w:rPr>
          <w:i/>
          <w:szCs w:val="20"/>
          <w:lang w:val="en-US"/>
        </w:rPr>
      </w:pPr>
      <w:r w:rsidRPr="006C34E4">
        <w:rPr>
          <w:i/>
          <w:szCs w:val="20"/>
          <w:vertAlign w:val="superscript"/>
          <w:lang w:val="en-US"/>
        </w:rPr>
        <w:t>1) 2) 3)</w:t>
      </w:r>
      <w:r w:rsidR="00BF2941" w:rsidRPr="006C34E4">
        <w:rPr>
          <w:i/>
          <w:szCs w:val="20"/>
          <w:lang w:val="en-US"/>
        </w:rPr>
        <w:t>Affiliation</w:t>
      </w:r>
    </w:p>
    <w:p w:rsidR="00801842" w:rsidRPr="006C34E4" w:rsidRDefault="00801842">
      <w:pPr>
        <w:jc w:val="center"/>
        <w:rPr>
          <w:szCs w:val="20"/>
          <w:lang w:val="fr-FR"/>
        </w:rPr>
      </w:pPr>
      <w:r w:rsidRPr="006C34E4">
        <w:rPr>
          <w:szCs w:val="20"/>
          <w:lang w:val="fr-FR"/>
        </w:rPr>
        <w:t xml:space="preserve">E-mail: </w:t>
      </w:r>
      <w:r w:rsidR="00BF2941" w:rsidRPr="006C34E4">
        <w:t>author1@gmail.com</w:t>
      </w:r>
      <w:r w:rsidRPr="006C34E4">
        <w:rPr>
          <w:szCs w:val="20"/>
          <w:lang w:val="fr-FR"/>
        </w:rPr>
        <w:t xml:space="preserve">; E-mail: </w:t>
      </w:r>
      <w:r w:rsidR="00BF2941" w:rsidRPr="006C34E4">
        <w:rPr>
          <w:szCs w:val="20"/>
          <w:lang w:val="fr-FR"/>
        </w:rPr>
        <w:t>author2</w:t>
      </w:r>
      <w:r w:rsidRPr="006C34E4">
        <w:rPr>
          <w:szCs w:val="20"/>
          <w:lang w:val="fr-FR"/>
        </w:rPr>
        <w:t>@yahoo.com</w:t>
      </w:r>
    </w:p>
    <w:p w:rsidR="00801842" w:rsidRPr="006C34E4" w:rsidRDefault="00801842">
      <w:pPr>
        <w:jc w:val="center"/>
        <w:rPr>
          <w:szCs w:val="20"/>
          <w:lang w:val="fr-FR"/>
        </w:rPr>
      </w:pPr>
      <w:r w:rsidRPr="006C34E4">
        <w:rPr>
          <w:szCs w:val="20"/>
          <w:lang w:val="fr-FR"/>
        </w:rPr>
        <w:t xml:space="preserve">E-mail: </w:t>
      </w:r>
      <w:r w:rsidR="00BF2941" w:rsidRPr="006C34E4">
        <w:rPr>
          <w:szCs w:val="20"/>
          <w:lang w:val="fr-FR"/>
        </w:rPr>
        <w:t>author3</w:t>
      </w:r>
      <w:r w:rsidRPr="006C34E4">
        <w:rPr>
          <w:szCs w:val="20"/>
          <w:lang w:val="fr-FR"/>
        </w:rPr>
        <w:t>@hotmail.com</w:t>
      </w:r>
    </w:p>
    <w:p w:rsidR="00801842" w:rsidRPr="006C34E4" w:rsidRDefault="00801842">
      <w:pPr>
        <w:jc w:val="both"/>
        <w:rPr>
          <w:i/>
          <w:sz w:val="22"/>
          <w:szCs w:val="22"/>
          <w:lang w:val="fr-FR"/>
        </w:rPr>
      </w:pPr>
    </w:p>
    <w:p w:rsidR="00801842" w:rsidRPr="006C34E4" w:rsidRDefault="00801842">
      <w:pPr>
        <w:rPr>
          <w:b/>
          <w:sz w:val="22"/>
          <w:szCs w:val="22"/>
          <w:lang w:val="fr-FR"/>
        </w:rPr>
      </w:pPr>
    </w:p>
    <w:p w:rsidR="00801842" w:rsidRDefault="00801842">
      <w:pPr>
        <w:pBdr>
          <w:top w:val="single" w:sz="4" w:space="1" w:color="000000"/>
        </w:pBdr>
        <w:rPr>
          <w:b/>
          <w:sz w:val="22"/>
          <w:szCs w:val="22"/>
          <w:lang w:val="fr-FR"/>
        </w:rPr>
      </w:pPr>
    </w:p>
    <w:p w:rsidR="001265A2" w:rsidRPr="006C34E4" w:rsidRDefault="001265A2">
      <w:pPr>
        <w:pBdr>
          <w:top w:val="single" w:sz="4" w:space="1" w:color="000000"/>
        </w:pBdr>
        <w:rPr>
          <w:b/>
          <w:sz w:val="22"/>
          <w:szCs w:val="22"/>
          <w:lang w:val="fr-FR"/>
        </w:rPr>
      </w:pPr>
      <w:bookmarkStart w:id="0" w:name="_GoBack"/>
      <w:bookmarkEnd w:id="0"/>
    </w:p>
    <w:p w:rsidR="00801842" w:rsidRPr="006C34E4" w:rsidRDefault="00801842">
      <w:pPr>
        <w:jc w:val="both"/>
        <w:rPr>
          <w:b/>
          <w:bCs/>
          <w:sz w:val="22"/>
          <w:szCs w:val="22"/>
          <w:lang w:val="en-US"/>
        </w:rPr>
      </w:pPr>
      <w:r w:rsidRPr="006C34E4">
        <w:rPr>
          <w:b/>
          <w:bCs/>
          <w:sz w:val="22"/>
          <w:szCs w:val="22"/>
          <w:lang w:val="en-US"/>
        </w:rPr>
        <w:t>Abstract</w:t>
      </w:r>
    </w:p>
    <w:p w:rsidR="00801842" w:rsidRPr="006C34E4" w:rsidRDefault="00801842">
      <w:pPr>
        <w:pStyle w:val="BodyText2"/>
        <w:rPr>
          <w:bCs/>
          <w:sz w:val="22"/>
          <w:szCs w:val="22"/>
        </w:rPr>
      </w:pPr>
      <w:r w:rsidRPr="006C34E4">
        <w:rPr>
          <w:bCs/>
          <w:sz w:val="22"/>
          <w:szCs w:val="22"/>
        </w:rPr>
        <w:t>The abstract must include sufficient information for readers to judge the nature and significance of the topic.  It should summarize the objectives of the article, methodology, results and conclusions. In order to increase the visibility of the article, the abstract should reiterate key words and phrases while a</w:t>
      </w:r>
      <w:r w:rsidR="006C34E4">
        <w:rPr>
          <w:bCs/>
          <w:sz w:val="22"/>
          <w:szCs w:val="22"/>
        </w:rPr>
        <w:t xml:space="preserve">voiding unnecessary repetition. </w:t>
      </w:r>
      <w:r w:rsidR="006C34E4" w:rsidRPr="006C34E4">
        <w:rPr>
          <w:bCs/>
          <w:sz w:val="22"/>
          <w:szCs w:val="22"/>
        </w:rPr>
        <w:t xml:space="preserve">The abstract should </w:t>
      </w:r>
      <w:r w:rsidR="001265A2">
        <w:rPr>
          <w:bCs/>
          <w:sz w:val="22"/>
          <w:szCs w:val="22"/>
        </w:rPr>
        <w:t>have</w:t>
      </w:r>
      <w:r w:rsidR="006C34E4" w:rsidRPr="006C34E4">
        <w:rPr>
          <w:bCs/>
          <w:sz w:val="22"/>
          <w:szCs w:val="22"/>
        </w:rPr>
        <w:t xml:space="preserve"> no more than 250 words.</w:t>
      </w:r>
    </w:p>
    <w:p w:rsidR="001265A2" w:rsidRDefault="001265A2">
      <w:pPr>
        <w:jc w:val="both"/>
        <w:rPr>
          <w:b/>
          <w:bCs/>
          <w:sz w:val="22"/>
          <w:szCs w:val="22"/>
          <w:lang w:val="en-US"/>
        </w:rPr>
      </w:pPr>
    </w:p>
    <w:p w:rsidR="00801842" w:rsidRPr="006C34E4" w:rsidRDefault="00801842">
      <w:pPr>
        <w:jc w:val="both"/>
        <w:rPr>
          <w:b/>
          <w:bCs/>
          <w:sz w:val="22"/>
          <w:szCs w:val="22"/>
          <w:lang w:val="en-US"/>
        </w:rPr>
      </w:pPr>
      <w:r w:rsidRPr="006C34E4">
        <w:rPr>
          <w:b/>
          <w:bCs/>
          <w:sz w:val="22"/>
          <w:szCs w:val="22"/>
          <w:lang w:val="en-US"/>
        </w:rPr>
        <w:t>Keywords</w:t>
      </w:r>
    </w:p>
    <w:p w:rsidR="00801842" w:rsidRPr="006C34E4" w:rsidRDefault="00801842">
      <w:pPr>
        <w:jc w:val="both"/>
        <w:rPr>
          <w:bCs/>
          <w:sz w:val="22"/>
          <w:szCs w:val="22"/>
        </w:rPr>
      </w:pPr>
      <w:r w:rsidRPr="006C34E4">
        <w:rPr>
          <w:bCs/>
          <w:sz w:val="22"/>
          <w:szCs w:val="22"/>
        </w:rPr>
        <w:t>Four to seven keywords (words or expressions) that capture the essence of your paper should be listed in decreasing order of importance, ensuring  consistency with the title and the abstract of the article.</w:t>
      </w:r>
    </w:p>
    <w:p w:rsidR="00801842" w:rsidRPr="006C34E4" w:rsidRDefault="00801842">
      <w:pPr>
        <w:jc w:val="both"/>
        <w:rPr>
          <w:bCs/>
          <w:sz w:val="22"/>
          <w:szCs w:val="22"/>
        </w:rPr>
      </w:pPr>
    </w:p>
    <w:p w:rsidR="00801842" w:rsidRPr="006C34E4" w:rsidRDefault="00801842">
      <w:pPr>
        <w:jc w:val="both"/>
        <w:rPr>
          <w:b/>
          <w:bCs/>
          <w:sz w:val="22"/>
          <w:szCs w:val="22"/>
          <w:lang w:val="en-US"/>
        </w:rPr>
      </w:pPr>
      <w:r w:rsidRPr="006C34E4">
        <w:rPr>
          <w:b/>
          <w:bCs/>
          <w:sz w:val="22"/>
          <w:szCs w:val="22"/>
          <w:lang w:val="en-US"/>
        </w:rPr>
        <w:t>JEL Classification</w:t>
      </w:r>
    </w:p>
    <w:p w:rsidR="00801842" w:rsidRPr="006C34E4" w:rsidRDefault="00801842">
      <w:pPr>
        <w:jc w:val="both"/>
        <w:rPr>
          <w:bCs/>
          <w:sz w:val="22"/>
          <w:szCs w:val="22"/>
          <w:lang w:val="en-US"/>
        </w:rPr>
      </w:pPr>
      <w:r w:rsidRPr="006C34E4">
        <w:rPr>
          <w:bCs/>
          <w:sz w:val="22"/>
          <w:szCs w:val="22"/>
          <w:lang w:val="en-US"/>
        </w:rPr>
        <w:t xml:space="preserve">The article should follow the Journal of Economic Literature classification system (JEL), in one or several categories. All relevant code(s) must be shown here. </w:t>
      </w:r>
      <w:hyperlink r:id="rId7" w:history="1">
        <w:r w:rsidRPr="006C34E4">
          <w:rPr>
            <w:rStyle w:val="Hyperlink"/>
            <w:sz w:val="22"/>
            <w:szCs w:val="22"/>
          </w:rPr>
          <w:t>Click her for JEL classification</w:t>
        </w:r>
      </w:hyperlink>
    </w:p>
    <w:p w:rsidR="00801842" w:rsidRDefault="00801842" w:rsidP="006C34E4">
      <w:pPr>
        <w:pBdr>
          <w:bottom w:val="single" w:sz="4" w:space="1" w:color="000000"/>
        </w:pBdr>
        <w:rPr>
          <w:sz w:val="22"/>
          <w:szCs w:val="22"/>
          <w:lang w:val="en-US"/>
        </w:rPr>
      </w:pPr>
    </w:p>
    <w:p w:rsidR="00E11418" w:rsidRPr="006C34E4" w:rsidRDefault="00E11418" w:rsidP="006C34E4">
      <w:pPr>
        <w:pBdr>
          <w:bottom w:val="single" w:sz="4" w:space="1" w:color="000000"/>
        </w:pBdr>
        <w:rPr>
          <w:sz w:val="22"/>
          <w:szCs w:val="22"/>
          <w:lang w:val="en-US"/>
        </w:rPr>
      </w:pPr>
    </w:p>
    <w:p w:rsidR="00801842" w:rsidRPr="006C34E4" w:rsidRDefault="00801842">
      <w:pPr>
        <w:jc w:val="both"/>
        <w:rPr>
          <w:b/>
          <w:bCs/>
          <w:sz w:val="22"/>
          <w:szCs w:val="22"/>
          <w:lang w:val="en-US"/>
        </w:rPr>
      </w:pPr>
    </w:p>
    <w:p w:rsidR="00801842" w:rsidRPr="006C34E4" w:rsidRDefault="00801842">
      <w:pPr>
        <w:jc w:val="both"/>
        <w:rPr>
          <w:b/>
          <w:bCs/>
          <w:sz w:val="22"/>
          <w:szCs w:val="22"/>
          <w:lang w:val="en-US"/>
        </w:rPr>
      </w:pPr>
      <w:r w:rsidRPr="006C34E4">
        <w:rPr>
          <w:b/>
          <w:bCs/>
          <w:sz w:val="22"/>
          <w:szCs w:val="22"/>
          <w:lang w:val="en-US"/>
        </w:rPr>
        <w:t>Introduction</w:t>
      </w:r>
    </w:p>
    <w:p w:rsidR="00AE43BA" w:rsidRDefault="00AE43BA">
      <w:pPr>
        <w:jc w:val="both"/>
        <w:rPr>
          <w:bCs/>
          <w:sz w:val="22"/>
          <w:szCs w:val="22"/>
          <w:lang w:val="en-US"/>
        </w:rPr>
      </w:pPr>
      <w:r>
        <w:rPr>
          <w:bCs/>
          <w:sz w:val="22"/>
          <w:szCs w:val="22"/>
          <w:lang w:val="en-US"/>
        </w:rPr>
        <w:t xml:space="preserve">All papers must be written in English, to </w:t>
      </w:r>
      <w:r w:rsidR="00E11418">
        <w:rPr>
          <w:bCs/>
          <w:sz w:val="22"/>
          <w:szCs w:val="22"/>
          <w:lang w:val="en-US"/>
        </w:rPr>
        <w:t>have between 6-8 pages (references and appendix included)</w:t>
      </w:r>
      <w:r>
        <w:rPr>
          <w:bCs/>
          <w:sz w:val="22"/>
          <w:szCs w:val="22"/>
          <w:lang w:val="en-US"/>
        </w:rPr>
        <w:t xml:space="preserve"> and to use Times New Roman font, size - 11, alignment - </w:t>
      </w:r>
      <w:r w:rsidR="00ED0FA8">
        <w:rPr>
          <w:bCs/>
          <w:sz w:val="22"/>
          <w:szCs w:val="22"/>
          <w:lang w:val="en-US"/>
        </w:rPr>
        <w:t>j</w:t>
      </w:r>
      <w:r w:rsidR="00E11418">
        <w:rPr>
          <w:bCs/>
          <w:sz w:val="22"/>
          <w:szCs w:val="22"/>
          <w:lang w:val="en-US"/>
        </w:rPr>
        <w:t>ustify.</w:t>
      </w:r>
      <w:r w:rsidR="001D72A4">
        <w:rPr>
          <w:bCs/>
          <w:sz w:val="22"/>
          <w:szCs w:val="22"/>
          <w:lang w:val="en-US"/>
        </w:rPr>
        <w:t xml:space="preserve"> Please don’t change paper margins or text size.</w:t>
      </w:r>
    </w:p>
    <w:p w:rsidR="00801842" w:rsidRPr="006C34E4" w:rsidRDefault="00801842">
      <w:pPr>
        <w:jc w:val="both"/>
        <w:rPr>
          <w:bCs/>
          <w:sz w:val="22"/>
          <w:szCs w:val="22"/>
          <w:lang w:val="en-US"/>
        </w:rPr>
      </w:pPr>
      <w:r w:rsidRPr="006C34E4">
        <w:rPr>
          <w:bCs/>
          <w:sz w:val="22"/>
          <w:szCs w:val="22"/>
          <w:lang w:val="en-US"/>
        </w:rPr>
        <w:t xml:space="preserve">The introduction familiarizes the reader with the context of the paper. It should briefly summarize current </w:t>
      </w:r>
      <w:r w:rsidR="00BB32A0">
        <w:rPr>
          <w:bCs/>
          <w:sz w:val="22"/>
          <w:szCs w:val="22"/>
          <w:lang w:val="en-US"/>
        </w:rPr>
        <w:t xml:space="preserve">scientific </w:t>
      </w:r>
      <w:r w:rsidRPr="006C34E4">
        <w:rPr>
          <w:bCs/>
          <w:sz w:val="22"/>
          <w:szCs w:val="22"/>
          <w:lang w:val="en-US"/>
        </w:rPr>
        <w:t xml:space="preserve">literature </w:t>
      </w:r>
      <w:r w:rsidR="00BB32A0">
        <w:rPr>
          <w:bCs/>
          <w:sz w:val="22"/>
          <w:szCs w:val="22"/>
          <w:lang w:val="en-US"/>
        </w:rPr>
        <w:t>in the field</w:t>
      </w:r>
      <w:r w:rsidRPr="006C34E4">
        <w:rPr>
          <w:bCs/>
          <w:sz w:val="22"/>
          <w:szCs w:val="22"/>
          <w:lang w:val="en-US"/>
        </w:rPr>
        <w:t xml:space="preserve">, as well as the aim of the </w:t>
      </w:r>
      <w:r w:rsidR="00BB32A0">
        <w:rPr>
          <w:bCs/>
          <w:sz w:val="22"/>
          <w:szCs w:val="22"/>
          <w:lang w:val="en-US"/>
        </w:rPr>
        <w:t>research paper</w:t>
      </w:r>
      <w:r w:rsidRPr="006C34E4">
        <w:rPr>
          <w:bCs/>
          <w:sz w:val="22"/>
          <w:szCs w:val="22"/>
          <w:lang w:val="en-US"/>
        </w:rPr>
        <w:t>.</w:t>
      </w:r>
      <w:r w:rsidR="00D265E3">
        <w:rPr>
          <w:bCs/>
          <w:sz w:val="22"/>
          <w:szCs w:val="22"/>
          <w:lang w:val="en-US"/>
        </w:rPr>
        <w:t xml:space="preserve"> </w:t>
      </w:r>
      <w:r w:rsidR="00D265E3" w:rsidRPr="00D265E3">
        <w:rPr>
          <w:sz w:val="22"/>
          <w:szCs w:val="22"/>
          <w:lang w:val="en-US"/>
        </w:rPr>
        <w:t>When publications are referred in the text, enclose the author’s name and th</w:t>
      </w:r>
      <w:r w:rsidR="00D265E3">
        <w:rPr>
          <w:sz w:val="22"/>
          <w:szCs w:val="22"/>
          <w:lang w:val="en-US"/>
        </w:rPr>
        <w:t>e date of publication within</w:t>
      </w:r>
      <w:r w:rsidR="00D265E3" w:rsidRPr="00D265E3">
        <w:rPr>
          <w:sz w:val="22"/>
          <w:szCs w:val="22"/>
          <w:lang w:val="en-US"/>
        </w:rPr>
        <w:t xml:space="preserve"> brackets</w:t>
      </w:r>
      <w:r w:rsidR="00D265E3">
        <w:rPr>
          <w:sz w:val="22"/>
          <w:szCs w:val="22"/>
          <w:lang w:val="en-US"/>
        </w:rPr>
        <w:t xml:space="preserve"> e.g. for 1</w:t>
      </w:r>
      <w:r w:rsidR="00D265E3">
        <w:rPr>
          <w:bCs/>
          <w:sz w:val="22"/>
          <w:szCs w:val="22"/>
          <w:lang w:val="en-US"/>
        </w:rPr>
        <w:t xml:space="preserve"> author (Author, 2017), for 2 authors (Author1 &amp; Author2, 2015); for 3 or more authors (Author1 et al., 2013)</w:t>
      </w:r>
      <w:r w:rsidR="00D265E3" w:rsidRPr="00D265E3">
        <w:rPr>
          <w:bCs/>
          <w:sz w:val="22"/>
          <w:szCs w:val="22"/>
          <w:lang w:val="en-US"/>
        </w:rPr>
        <w:t>.</w:t>
      </w:r>
    </w:p>
    <w:p w:rsidR="00801842" w:rsidRPr="006C34E4" w:rsidRDefault="00801842">
      <w:pPr>
        <w:jc w:val="both"/>
        <w:rPr>
          <w:b/>
          <w:bCs/>
          <w:sz w:val="22"/>
          <w:szCs w:val="22"/>
          <w:lang w:val="en-US"/>
        </w:rPr>
      </w:pPr>
    </w:p>
    <w:p w:rsidR="00801842" w:rsidRPr="006C34E4" w:rsidRDefault="00801842">
      <w:pPr>
        <w:jc w:val="both"/>
        <w:rPr>
          <w:b/>
          <w:bCs/>
          <w:sz w:val="22"/>
          <w:szCs w:val="22"/>
          <w:lang w:val="en-US"/>
        </w:rPr>
      </w:pPr>
      <w:r w:rsidRPr="006C34E4">
        <w:rPr>
          <w:b/>
          <w:bCs/>
          <w:sz w:val="22"/>
          <w:szCs w:val="22"/>
          <w:lang w:val="en-US"/>
        </w:rPr>
        <w:t>Paper Body</w:t>
      </w:r>
    </w:p>
    <w:p w:rsidR="00801842" w:rsidRPr="006C34E4" w:rsidRDefault="00801842">
      <w:pPr>
        <w:jc w:val="both"/>
        <w:rPr>
          <w:bCs/>
          <w:sz w:val="22"/>
          <w:szCs w:val="22"/>
          <w:lang w:val="en-US"/>
        </w:rPr>
      </w:pPr>
      <w:r w:rsidRPr="006C34E4">
        <w:rPr>
          <w:bCs/>
          <w:sz w:val="22"/>
          <w:szCs w:val="22"/>
          <w:lang w:val="en-US"/>
        </w:rPr>
        <w:t>The structure of the paper should be clear, and well organized. Titles and subtitles should be placed in logical sequence. Please make use of accepted terminology in your field, provide a detail</w:t>
      </w:r>
      <w:r w:rsidR="006C34E4">
        <w:rPr>
          <w:bCs/>
          <w:sz w:val="22"/>
          <w:szCs w:val="22"/>
          <w:lang w:val="en-US"/>
        </w:rPr>
        <w:t xml:space="preserve">ed description of methodology, </w:t>
      </w:r>
      <w:r w:rsidRPr="006C34E4">
        <w:rPr>
          <w:bCs/>
          <w:sz w:val="22"/>
          <w:szCs w:val="22"/>
          <w:lang w:val="en-US"/>
        </w:rPr>
        <w:t>c</w:t>
      </w:r>
      <w:r w:rsidR="006C34E4">
        <w:rPr>
          <w:bCs/>
          <w:sz w:val="22"/>
          <w:szCs w:val="22"/>
          <w:lang w:val="en-US"/>
        </w:rPr>
        <w:t>learly state your</w:t>
      </w:r>
      <w:r w:rsidR="00BB32A0">
        <w:rPr>
          <w:bCs/>
          <w:sz w:val="22"/>
          <w:szCs w:val="22"/>
          <w:lang w:val="en-US"/>
        </w:rPr>
        <w:t xml:space="preserve"> results </w:t>
      </w:r>
      <w:r w:rsidRPr="006C34E4">
        <w:rPr>
          <w:bCs/>
          <w:sz w:val="22"/>
          <w:szCs w:val="22"/>
          <w:lang w:val="en-US"/>
        </w:rPr>
        <w:t>and discuss the implications of your findings.</w:t>
      </w:r>
    </w:p>
    <w:p w:rsidR="00801842" w:rsidRPr="006C34E4" w:rsidRDefault="00801842">
      <w:pPr>
        <w:jc w:val="both"/>
        <w:rPr>
          <w:bCs/>
          <w:sz w:val="22"/>
          <w:szCs w:val="22"/>
          <w:lang w:val="en-US"/>
        </w:rPr>
      </w:pPr>
    </w:p>
    <w:p w:rsidR="00801842" w:rsidRPr="006C34E4" w:rsidRDefault="00801842">
      <w:pPr>
        <w:numPr>
          <w:ilvl w:val="0"/>
          <w:numId w:val="2"/>
        </w:numPr>
        <w:tabs>
          <w:tab w:val="left" w:pos="540"/>
          <w:tab w:val="left" w:pos="720"/>
          <w:tab w:val="left" w:pos="1260"/>
          <w:tab w:val="left" w:pos="1440"/>
        </w:tabs>
        <w:ind w:left="540" w:firstLine="0"/>
        <w:jc w:val="both"/>
        <w:rPr>
          <w:strike/>
          <w:sz w:val="22"/>
          <w:szCs w:val="22"/>
          <w:lang w:val="en-US"/>
        </w:rPr>
      </w:pPr>
      <w:r w:rsidRPr="006C34E4">
        <w:rPr>
          <w:b/>
          <w:sz w:val="22"/>
          <w:szCs w:val="22"/>
          <w:lang w:val="en-US"/>
        </w:rPr>
        <w:t>Tables and figures</w:t>
      </w:r>
      <w:r w:rsidRPr="006C34E4">
        <w:rPr>
          <w:sz w:val="22"/>
          <w:szCs w:val="22"/>
          <w:lang w:val="en-US"/>
        </w:rPr>
        <w:t xml:space="preserve"> should be placed in the body of the paper exactly where the authors want them to appear printed. They should not occupy more than one page each. The heading should be in Times New Roman </w:t>
      </w:r>
      <w:r w:rsidR="006C34E4" w:rsidRPr="006C34E4">
        <w:rPr>
          <w:sz w:val="22"/>
          <w:szCs w:val="22"/>
          <w:lang w:val="en-US"/>
        </w:rPr>
        <w:t>1</w:t>
      </w:r>
      <w:r w:rsidR="006C34E4">
        <w:rPr>
          <w:sz w:val="22"/>
          <w:szCs w:val="22"/>
          <w:lang w:val="en-US"/>
        </w:rPr>
        <w:t>1</w:t>
      </w:r>
      <w:r w:rsidR="006C34E4" w:rsidRPr="006C34E4">
        <w:rPr>
          <w:sz w:val="22"/>
          <w:szCs w:val="22"/>
          <w:lang w:val="en-US"/>
        </w:rPr>
        <w:t xml:space="preserve"> </w:t>
      </w:r>
      <w:r w:rsidRPr="006C34E4">
        <w:rPr>
          <w:sz w:val="22"/>
          <w:szCs w:val="22"/>
          <w:lang w:val="en-US"/>
        </w:rPr>
        <w:t>point</w:t>
      </w:r>
      <w:r w:rsidR="00AE43BA">
        <w:rPr>
          <w:sz w:val="22"/>
          <w:szCs w:val="22"/>
          <w:lang w:val="en-US"/>
        </w:rPr>
        <w:t>s</w:t>
      </w:r>
      <w:r w:rsidRPr="006C34E4">
        <w:rPr>
          <w:sz w:val="22"/>
          <w:szCs w:val="22"/>
          <w:lang w:val="en-US"/>
        </w:rPr>
        <w:t xml:space="preserve"> type bold. </w:t>
      </w:r>
      <w:r w:rsidR="007E693B">
        <w:rPr>
          <w:sz w:val="22"/>
          <w:szCs w:val="22"/>
          <w:lang w:val="en-US"/>
        </w:rPr>
        <w:t>For tables t</w:t>
      </w:r>
      <w:r w:rsidRPr="006C34E4">
        <w:rPr>
          <w:sz w:val="22"/>
          <w:szCs w:val="22"/>
          <w:lang w:val="en-US"/>
        </w:rPr>
        <w:t xml:space="preserve">itles and </w:t>
      </w:r>
      <w:r w:rsidRPr="006C34E4">
        <w:rPr>
          <w:sz w:val="22"/>
          <w:szCs w:val="22"/>
          <w:lang w:val="en-US"/>
        </w:rPr>
        <w:lastRenderedPageBreak/>
        <w:t xml:space="preserve">numbers should be positioned above </w:t>
      </w:r>
      <w:r w:rsidR="007E693B">
        <w:rPr>
          <w:sz w:val="22"/>
          <w:szCs w:val="22"/>
          <w:lang w:val="en-US"/>
        </w:rPr>
        <w:t xml:space="preserve">them. In case of figures titles and numbers should be positioned below them. </w:t>
      </w:r>
      <w:r w:rsidRPr="006C34E4">
        <w:rPr>
          <w:sz w:val="22"/>
          <w:szCs w:val="22"/>
          <w:lang w:val="en-US"/>
        </w:rPr>
        <w:t xml:space="preserve">Please indicate the source of data when appropriate. </w:t>
      </w:r>
    </w:p>
    <w:p w:rsidR="00801842" w:rsidRPr="006C34E4" w:rsidRDefault="00801842">
      <w:pPr>
        <w:jc w:val="both"/>
        <w:rPr>
          <w:sz w:val="22"/>
          <w:szCs w:val="22"/>
          <w:lang w:val="en-US"/>
        </w:rPr>
      </w:pPr>
    </w:p>
    <w:p w:rsidR="00801842" w:rsidRDefault="00801842" w:rsidP="00AD15E5">
      <w:pPr>
        <w:spacing w:after="120"/>
        <w:rPr>
          <w:b/>
          <w:sz w:val="22"/>
          <w:szCs w:val="22"/>
          <w:lang w:val="en-US"/>
        </w:rPr>
      </w:pPr>
      <w:r w:rsidRPr="00AD15E5">
        <w:rPr>
          <w:b/>
          <w:sz w:val="22"/>
          <w:szCs w:val="22"/>
          <w:lang w:val="en-US"/>
        </w:rPr>
        <w:t xml:space="preserve">Table no. 1 </w:t>
      </w:r>
      <w:r w:rsidR="000850D4" w:rsidRPr="000850D4">
        <w:rPr>
          <w:b/>
          <w:sz w:val="22"/>
          <w:szCs w:val="22"/>
          <w:lang w:val="en-US"/>
        </w:rPr>
        <w:t>Partnership &amp; Innovation Level ‒ KPI set</w:t>
      </w:r>
    </w:p>
    <w:tbl>
      <w:tblPr>
        <w:tblStyle w:val="TableGrid"/>
        <w:tblW w:w="8095" w:type="dxa"/>
        <w:tblLayout w:type="fixed"/>
        <w:tblLook w:val="0000" w:firstRow="0" w:lastRow="0" w:firstColumn="0" w:lastColumn="0" w:noHBand="0" w:noVBand="0"/>
      </w:tblPr>
      <w:tblGrid>
        <w:gridCol w:w="1705"/>
        <w:gridCol w:w="2340"/>
        <w:gridCol w:w="2070"/>
        <w:gridCol w:w="1980"/>
      </w:tblGrid>
      <w:tr w:rsidR="00DF7391" w:rsidRPr="006C34E4" w:rsidTr="00621F76">
        <w:tc>
          <w:tcPr>
            <w:tcW w:w="1705" w:type="dxa"/>
          </w:tcPr>
          <w:p w:rsidR="00DF7391" w:rsidRPr="00AD15E5" w:rsidRDefault="00DF7391" w:rsidP="00DD4D3A">
            <w:pPr>
              <w:pStyle w:val="BodyText"/>
              <w:snapToGrid w:val="0"/>
              <w:spacing w:before="40" w:after="40"/>
              <w:jc w:val="center"/>
              <w:rPr>
                <w:spacing w:val="-10"/>
                <w:sz w:val="22"/>
                <w:szCs w:val="22"/>
                <w:lang w:val="en-US"/>
              </w:rPr>
            </w:pPr>
            <w:r w:rsidRPr="00DF7391">
              <w:rPr>
                <w:spacing w:val="-10"/>
                <w:sz w:val="22"/>
                <w:szCs w:val="22"/>
                <w:lang w:val="en-US"/>
              </w:rPr>
              <w:t>KPI</w:t>
            </w:r>
          </w:p>
        </w:tc>
        <w:tc>
          <w:tcPr>
            <w:tcW w:w="2340" w:type="dxa"/>
          </w:tcPr>
          <w:p w:rsidR="00DF7391" w:rsidRPr="00DF7391" w:rsidRDefault="00DF7391" w:rsidP="00DD4D3A">
            <w:pPr>
              <w:pStyle w:val="BodyText"/>
              <w:snapToGrid w:val="0"/>
              <w:spacing w:before="40" w:after="40"/>
              <w:ind w:left="44"/>
              <w:jc w:val="center"/>
              <w:rPr>
                <w:spacing w:val="-10"/>
                <w:sz w:val="22"/>
                <w:szCs w:val="22"/>
                <w:lang w:val="en-US"/>
              </w:rPr>
            </w:pPr>
            <w:r w:rsidRPr="00DF7391">
              <w:rPr>
                <w:spacing w:val="-10"/>
                <w:sz w:val="22"/>
                <w:szCs w:val="22"/>
                <w:lang w:val="en-US"/>
              </w:rPr>
              <w:t>Formula</w:t>
            </w:r>
          </w:p>
        </w:tc>
        <w:tc>
          <w:tcPr>
            <w:tcW w:w="2070" w:type="dxa"/>
          </w:tcPr>
          <w:p w:rsidR="00DF7391" w:rsidRPr="00AD15E5" w:rsidRDefault="00DF7391" w:rsidP="00DD4D3A">
            <w:pPr>
              <w:pStyle w:val="BodyText"/>
              <w:snapToGrid w:val="0"/>
              <w:spacing w:before="40" w:after="40"/>
              <w:ind w:left="44"/>
              <w:jc w:val="center"/>
              <w:rPr>
                <w:spacing w:val="-10"/>
                <w:sz w:val="22"/>
                <w:szCs w:val="22"/>
                <w:lang w:val="en-US"/>
              </w:rPr>
            </w:pPr>
            <w:r w:rsidRPr="00DF7391">
              <w:rPr>
                <w:spacing w:val="-10"/>
                <w:sz w:val="22"/>
                <w:szCs w:val="22"/>
                <w:lang w:val="en-US"/>
              </w:rPr>
              <w:t>Effect</w:t>
            </w:r>
          </w:p>
        </w:tc>
        <w:tc>
          <w:tcPr>
            <w:tcW w:w="1980" w:type="dxa"/>
          </w:tcPr>
          <w:p w:rsidR="00DF7391" w:rsidRPr="00AD15E5" w:rsidRDefault="00DF7391" w:rsidP="00DD4D3A">
            <w:pPr>
              <w:pStyle w:val="BodyText"/>
              <w:snapToGrid w:val="0"/>
              <w:spacing w:before="40" w:after="40"/>
              <w:jc w:val="center"/>
              <w:rPr>
                <w:spacing w:val="-10"/>
                <w:sz w:val="22"/>
                <w:szCs w:val="22"/>
                <w:lang w:val="en-US"/>
              </w:rPr>
            </w:pPr>
            <w:r w:rsidRPr="00DF7391">
              <w:rPr>
                <w:spacing w:val="-10"/>
                <w:sz w:val="22"/>
                <w:szCs w:val="22"/>
                <w:lang w:val="en-US"/>
              </w:rPr>
              <w:t>Action</w:t>
            </w:r>
          </w:p>
        </w:tc>
      </w:tr>
      <w:tr w:rsidR="00DF7391" w:rsidRPr="006C34E4" w:rsidTr="00621F76">
        <w:trPr>
          <w:trHeight w:val="658"/>
        </w:trPr>
        <w:tc>
          <w:tcPr>
            <w:tcW w:w="1705" w:type="dxa"/>
          </w:tcPr>
          <w:p w:rsidR="00DF7391" w:rsidRPr="00DD4D3A" w:rsidRDefault="00FF1033" w:rsidP="00DD4D3A">
            <w:pPr>
              <w:pStyle w:val="BodyText"/>
              <w:snapToGrid w:val="0"/>
              <w:spacing w:before="40" w:after="40"/>
              <w:rPr>
                <w:iCs/>
                <w:sz w:val="22"/>
                <w:szCs w:val="22"/>
                <w:lang w:val="en-US"/>
              </w:rPr>
            </w:pPr>
            <w:r w:rsidRPr="00FF1033">
              <w:rPr>
                <w:iCs/>
                <w:sz w:val="22"/>
                <w:szCs w:val="22"/>
                <w:lang w:val="en-US"/>
              </w:rPr>
              <w:t>Customer Improvement</w:t>
            </w:r>
          </w:p>
        </w:tc>
        <w:tc>
          <w:tcPr>
            <w:tcW w:w="2340" w:type="dxa"/>
          </w:tcPr>
          <w:p w:rsidR="00DF7391" w:rsidRPr="00DF7391" w:rsidRDefault="00FF1033" w:rsidP="00DD4D3A">
            <w:pPr>
              <w:pStyle w:val="BodyText"/>
              <w:snapToGrid w:val="0"/>
              <w:spacing w:before="40" w:after="40"/>
              <w:rPr>
                <w:spacing w:val="-6"/>
                <w:sz w:val="22"/>
                <w:szCs w:val="22"/>
                <w:lang w:val="en-US"/>
              </w:rPr>
            </w:pPr>
            <w:r w:rsidRPr="00FF1033">
              <w:rPr>
                <w:spacing w:val="-6"/>
                <w:sz w:val="22"/>
                <w:szCs w:val="22"/>
                <w:lang w:val="en-US"/>
              </w:rPr>
              <w:t>Number of suggested improvements</w:t>
            </w:r>
          </w:p>
        </w:tc>
        <w:tc>
          <w:tcPr>
            <w:tcW w:w="2070" w:type="dxa"/>
          </w:tcPr>
          <w:p w:rsidR="00DF7391" w:rsidRPr="00DD4D3A" w:rsidRDefault="00FF1033" w:rsidP="00DD4D3A">
            <w:pPr>
              <w:pStyle w:val="BodyText"/>
              <w:snapToGrid w:val="0"/>
              <w:spacing w:before="40" w:after="40"/>
              <w:rPr>
                <w:spacing w:val="-6"/>
                <w:sz w:val="22"/>
                <w:szCs w:val="22"/>
                <w:lang w:val="en-US"/>
              </w:rPr>
            </w:pPr>
            <w:r w:rsidRPr="00FF1033">
              <w:rPr>
                <w:spacing w:val="-6"/>
                <w:sz w:val="22"/>
                <w:szCs w:val="22"/>
                <w:lang w:val="en-US"/>
              </w:rPr>
              <w:t>Growing customer loyalty</w:t>
            </w:r>
          </w:p>
        </w:tc>
        <w:tc>
          <w:tcPr>
            <w:tcW w:w="1980" w:type="dxa"/>
          </w:tcPr>
          <w:p w:rsidR="00DF7391" w:rsidRPr="00DD4D3A" w:rsidRDefault="00DF7391" w:rsidP="00DD4D3A">
            <w:pPr>
              <w:pStyle w:val="BodyText"/>
              <w:snapToGrid w:val="0"/>
              <w:spacing w:before="40" w:after="40"/>
              <w:rPr>
                <w:spacing w:val="-6"/>
                <w:sz w:val="22"/>
                <w:szCs w:val="22"/>
                <w:lang w:val="en-US"/>
              </w:rPr>
            </w:pPr>
            <w:r w:rsidRPr="00DF7391">
              <w:rPr>
                <w:spacing w:val="-6"/>
                <w:sz w:val="22"/>
                <w:szCs w:val="22"/>
                <w:lang w:val="en-US"/>
              </w:rPr>
              <w:t>Improvement initiative</w:t>
            </w:r>
          </w:p>
        </w:tc>
      </w:tr>
      <w:tr w:rsidR="00DF7391" w:rsidRPr="006C34E4" w:rsidTr="00621F76">
        <w:trPr>
          <w:trHeight w:val="1052"/>
        </w:trPr>
        <w:tc>
          <w:tcPr>
            <w:tcW w:w="1705" w:type="dxa"/>
          </w:tcPr>
          <w:p w:rsidR="00DF7391" w:rsidRPr="00DD4D3A" w:rsidRDefault="00FF1033" w:rsidP="00DD4D3A">
            <w:pPr>
              <w:pStyle w:val="BodyText"/>
              <w:snapToGrid w:val="0"/>
              <w:spacing w:before="40" w:after="40"/>
              <w:rPr>
                <w:iCs/>
                <w:sz w:val="22"/>
                <w:szCs w:val="22"/>
                <w:lang w:val="en-US"/>
              </w:rPr>
            </w:pPr>
            <w:r w:rsidRPr="00FF1033">
              <w:rPr>
                <w:iCs/>
                <w:sz w:val="22"/>
                <w:szCs w:val="22"/>
                <w:lang w:val="en-US"/>
              </w:rPr>
              <w:t>Customer Retention</w:t>
            </w:r>
          </w:p>
        </w:tc>
        <w:tc>
          <w:tcPr>
            <w:tcW w:w="2340" w:type="dxa"/>
          </w:tcPr>
          <w:p w:rsidR="00DF7391" w:rsidRPr="00DF7391" w:rsidRDefault="00FF1033" w:rsidP="00DD4D3A">
            <w:pPr>
              <w:pStyle w:val="BodyText"/>
              <w:snapToGrid w:val="0"/>
              <w:spacing w:before="40" w:after="40"/>
              <w:rPr>
                <w:spacing w:val="-6"/>
                <w:sz w:val="22"/>
                <w:szCs w:val="22"/>
                <w:lang w:val="en-US"/>
              </w:rPr>
            </w:pPr>
            <w:r w:rsidRPr="00FF1033">
              <w:rPr>
                <w:spacing w:val="-6"/>
                <w:sz w:val="22"/>
                <w:szCs w:val="22"/>
                <w:lang w:val="en-US"/>
              </w:rPr>
              <w:t>Number of contract renewals</w:t>
            </w:r>
          </w:p>
        </w:tc>
        <w:tc>
          <w:tcPr>
            <w:tcW w:w="2070" w:type="dxa"/>
          </w:tcPr>
          <w:p w:rsidR="00DF7391" w:rsidRPr="00DD4D3A" w:rsidRDefault="00FF1033" w:rsidP="00DD4D3A">
            <w:pPr>
              <w:pStyle w:val="BodyText"/>
              <w:snapToGrid w:val="0"/>
              <w:spacing w:before="40" w:after="40"/>
              <w:rPr>
                <w:spacing w:val="-6"/>
                <w:sz w:val="22"/>
                <w:szCs w:val="22"/>
                <w:lang w:val="en-US"/>
              </w:rPr>
            </w:pPr>
            <w:r w:rsidRPr="00FF1033">
              <w:rPr>
                <w:spacing w:val="-6"/>
                <w:sz w:val="22"/>
                <w:szCs w:val="22"/>
                <w:lang w:val="en-US"/>
              </w:rPr>
              <w:t>Higher customer knowledge &amp; experiences</w:t>
            </w:r>
          </w:p>
        </w:tc>
        <w:tc>
          <w:tcPr>
            <w:tcW w:w="1980" w:type="dxa"/>
          </w:tcPr>
          <w:p w:rsidR="00DF7391" w:rsidRPr="00DD4D3A" w:rsidRDefault="00DF7391" w:rsidP="00DD4D3A">
            <w:pPr>
              <w:pStyle w:val="BodyText"/>
              <w:snapToGrid w:val="0"/>
              <w:spacing w:before="40" w:after="40"/>
              <w:rPr>
                <w:spacing w:val="-6"/>
                <w:sz w:val="22"/>
                <w:szCs w:val="22"/>
                <w:lang w:val="en-US"/>
              </w:rPr>
            </w:pPr>
            <w:r w:rsidRPr="00DF7391">
              <w:rPr>
                <w:spacing w:val="-6"/>
                <w:sz w:val="22"/>
                <w:szCs w:val="22"/>
                <w:lang w:val="en-US"/>
              </w:rPr>
              <w:t>Customer survey</w:t>
            </w:r>
          </w:p>
        </w:tc>
      </w:tr>
      <w:tr w:rsidR="00DF7391" w:rsidRPr="006C34E4" w:rsidTr="00621F76">
        <w:trPr>
          <w:trHeight w:val="505"/>
        </w:trPr>
        <w:tc>
          <w:tcPr>
            <w:tcW w:w="1705" w:type="dxa"/>
          </w:tcPr>
          <w:p w:rsidR="00DF7391" w:rsidRPr="00DD4D3A" w:rsidRDefault="00FF1033" w:rsidP="00DD4D3A">
            <w:pPr>
              <w:pStyle w:val="BodyText"/>
              <w:snapToGrid w:val="0"/>
              <w:spacing w:before="40" w:after="40"/>
              <w:rPr>
                <w:iCs/>
                <w:sz w:val="22"/>
                <w:szCs w:val="22"/>
                <w:lang w:val="en-US"/>
              </w:rPr>
            </w:pPr>
            <w:r w:rsidRPr="00FF1033">
              <w:rPr>
                <w:iCs/>
                <w:sz w:val="22"/>
                <w:szCs w:val="22"/>
                <w:lang w:val="en-US"/>
              </w:rPr>
              <w:t>Customer Promotion</w:t>
            </w:r>
          </w:p>
        </w:tc>
        <w:tc>
          <w:tcPr>
            <w:tcW w:w="2340" w:type="dxa"/>
          </w:tcPr>
          <w:p w:rsidR="00DF7391" w:rsidRPr="00DF7391" w:rsidRDefault="00FF1033" w:rsidP="00DD4D3A">
            <w:pPr>
              <w:pStyle w:val="BodyText"/>
              <w:snapToGrid w:val="0"/>
              <w:spacing w:before="40" w:after="40"/>
              <w:rPr>
                <w:spacing w:val="-6"/>
                <w:sz w:val="22"/>
                <w:szCs w:val="22"/>
                <w:lang w:val="en-US"/>
              </w:rPr>
            </w:pPr>
            <w:r w:rsidRPr="00FF1033">
              <w:rPr>
                <w:spacing w:val="-6"/>
                <w:sz w:val="22"/>
                <w:szCs w:val="22"/>
                <w:lang w:val="en-US"/>
              </w:rPr>
              <w:t>Number of active recommendations by customers</w:t>
            </w:r>
          </w:p>
        </w:tc>
        <w:tc>
          <w:tcPr>
            <w:tcW w:w="2070" w:type="dxa"/>
          </w:tcPr>
          <w:p w:rsidR="00DF7391" w:rsidRPr="00DD4D3A" w:rsidRDefault="00FF1033" w:rsidP="00DD4D3A">
            <w:pPr>
              <w:pStyle w:val="BodyText"/>
              <w:snapToGrid w:val="0"/>
              <w:spacing w:before="40" w:after="40"/>
              <w:rPr>
                <w:spacing w:val="-6"/>
                <w:sz w:val="22"/>
                <w:szCs w:val="22"/>
                <w:lang w:val="en-US"/>
              </w:rPr>
            </w:pPr>
            <w:r w:rsidRPr="00FF1033">
              <w:rPr>
                <w:spacing w:val="-6"/>
                <w:sz w:val="22"/>
                <w:szCs w:val="22"/>
                <w:lang w:val="en-US"/>
              </w:rPr>
              <w:t>Growing customer base &amp; raising synergies</w:t>
            </w:r>
          </w:p>
        </w:tc>
        <w:tc>
          <w:tcPr>
            <w:tcW w:w="1980" w:type="dxa"/>
          </w:tcPr>
          <w:p w:rsidR="00DF7391" w:rsidRPr="00DD4D3A" w:rsidRDefault="00DF7391" w:rsidP="00DD4D3A">
            <w:pPr>
              <w:pStyle w:val="BodyText"/>
              <w:snapToGrid w:val="0"/>
              <w:spacing w:before="40" w:after="40"/>
              <w:rPr>
                <w:spacing w:val="-6"/>
                <w:sz w:val="22"/>
                <w:szCs w:val="22"/>
                <w:lang w:val="en-US"/>
              </w:rPr>
            </w:pPr>
            <w:r w:rsidRPr="00DF7391">
              <w:rPr>
                <w:spacing w:val="-6"/>
                <w:sz w:val="22"/>
                <w:szCs w:val="22"/>
                <w:lang w:val="en-US"/>
              </w:rPr>
              <w:t>Customer loyalty program</w:t>
            </w:r>
          </w:p>
        </w:tc>
      </w:tr>
      <w:tr w:rsidR="00FF1033" w:rsidRPr="006C34E4" w:rsidTr="00621F76">
        <w:trPr>
          <w:trHeight w:val="505"/>
        </w:trPr>
        <w:tc>
          <w:tcPr>
            <w:tcW w:w="1705" w:type="dxa"/>
          </w:tcPr>
          <w:p w:rsidR="00FF1033" w:rsidRPr="00DF7391" w:rsidRDefault="00FF1033" w:rsidP="00DD4D3A">
            <w:pPr>
              <w:pStyle w:val="BodyText"/>
              <w:snapToGrid w:val="0"/>
              <w:spacing w:before="40" w:after="40"/>
              <w:rPr>
                <w:iCs/>
                <w:sz w:val="22"/>
                <w:szCs w:val="22"/>
                <w:lang w:val="en-US"/>
              </w:rPr>
            </w:pPr>
            <w:r w:rsidRPr="00FF1033">
              <w:rPr>
                <w:iCs/>
                <w:sz w:val="22"/>
                <w:szCs w:val="22"/>
                <w:lang w:val="en-US"/>
              </w:rPr>
              <w:t>Employee Retention</w:t>
            </w:r>
          </w:p>
        </w:tc>
        <w:tc>
          <w:tcPr>
            <w:tcW w:w="2340" w:type="dxa"/>
          </w:tcPr>
          <w:p w:rsidR="00FF1033" w:rsidRPr="00DF7391" w:rsidRDefault="00FF1033" w:rsidP="00DD4D3A">
            <w:pPr>
              <w:pStyle w:val="BodyText"/>
              <w:snapToGrid w:val="0"/>
              <w:spacing w:before="40" w:after="40"/>
              <w:rPr>
                <w:spacing w:val="-6"/>
                <w:sz w:val="22"/>
                <w:szCs w:val="22"/>
                <w:lang w:val="en-US"/>
              </w:rPr>
            </w:pPr>
            <w:r w:rsidRPr="00FF1033">
              <w:rPr>
                <w:spacing w:val="-6"/>
                <w:sz w:val="22"/>
                <w:szCs w:val="22"/>
                <w:lang w:val="en-US"/>
              </w:rPr>
              <w:t>Aging of employees</w:t>
            </w:r>
          </w:p>
        </w:tc>
        <w:tc>
          <w:tcPr>
            <w:tcW w:w="2070" w:type="dxa"/>
          </w:tcPr>
          <w:p w:rsidR="00FF1033" w:rsidRPr="00DF7391" w:rsidRDefault="00FF1033" w:rsidP="00DD4D3A">
            <w:pPr>
              <w:pStyle w:val="BodyText"/>
              <w:snapToGrid w:val="0"/>
              <w:spacing w:before="40" w:after="40"/>
              <w:rPr>
                <w:spacing w:val="-6"/>
                <w:sz w:val="22"/>
                <w:szCs w:val="22"/>
                <w:lang w:val="en-US"/>
              </w:rPr>
            </w:pPr>
            <w:r w:rsidRPr="00FF1033">
              <w:rPr>
                <w:spacing w:val="-6"/>
                <w:sz w:val="22"/>
                <w:szCs w:val="22"/>
                <w:lang w:val="en-US"/>
              </w:rPr>
              <w:t>Higher seniority &amp; experiences</w:t>
            </w:r>
          </w:p>
        </w:tc>
        <w:tc>
          <w:tcPr>
            <w:tcW w:w="1980" w:type="dxa"/>
          </w:tcPr>
          <w:p w:rsidR="00FF1033" w:rsidRPr="00DF7391" w:rsidRDefault="00FF1033" w:rsidP="00DD4D3A">
            <w:pPr>
              <w:pStyle w:val="BodyText"/>
              <w:snapToGrid w:val="0"/>
              <w:spacing w:before="40" w:after="40"/>
              <w:rPr>
                <w:spacing w:val="-6"/>
                <w:sz w:val="22"/>
                <w:szCs w:val="22"/>
                <w:lang w:val="en-US"/>
              </w:rPr>
            </w:pPr>
            <w:r w:rsidRPr="00FF1033">
              <w:rPr>
                <w:spacing w:val="-6"/>
                <w:sz w:val="22"/>
                <w:szCs w:val="22"/>
                <w:lang w:val="en-US"/>
              </w:rPr>
              <w:t>Employee survey &amp; loyalty program</w:t>
            </w:r>
          </w:p>
        </w:tc>
      </w:tr>
      <w:tr w:rsidR="00FF1033" w:rsidRPr="006C34E4" w:rsidTr="00621F76">
        <w:trPr>
          <w:trHeight w:val="505"/>
        </w:trPr>
        <w:tc>
          <w:tcPr>
            <w:tcW w:w="1705" w:type="dxa"/>
          </w:tcPr>
          <w:p w:rsidR="00FF1033" w:rsidRPr="00DF7391" w:rsidRDefault="00FF1033" w:rsidP="00DD4D3A">
            <w:pPr>
              <w:pStyle w:val="BodyText"/>
              <w:snapToGrid w:val="0"/>
              <w:spacing w:before="40" w:after="40"/>
              <w:rPr>
                <w:iCs/>
                <w:sz w:val="22"/>
                <w:szCs w:val="22"/>
                <w:lang w:val="en-US"/>
              </w:rPr>
            </w:pPr>
            <w:r w:rsidRPr="00FF1033">
              <w:rPr>
                <w:iCs/>
                <w:sz w:val="22"/>
                <w:szCs w:val="22"/>
                <w:lang w:val="en-US"/>
              </w:rPr>
              <w:t>Top Customer Score</w:t>
            </w:r>
          </w:p>
        </w:tc>
        <w:tc>
          <w:tcPr>
            <w:tcW w:w="2340" w:type="dxa"/>
          </w:tcPr>
          <w:p w:rsidR="00FF1033" w:rsidRPr="00DF7391" w:rsidRDefault="00FF1033" w:rsidP="00DD4D3A">
            <w:pPr>
              <w:pStyle w:val="BodyText"/>
              <w:snapToGrid w:val="0"/>
              <w:spacing w:before="40" w:after="40"/>
              <w:rPr>
                <w:spacing w:val="-6"/>
                <w:sz w:val="22"/>
                <w:szCs w:val="22"/>
                <w:lang w:val="en-US"/>
              </w:rPr>
            </w:pPr>
            <w:r w:rsidRPr="00FF1033">
              <w:rPr>
                <w:spacing w:val="-6"/>
                <w:sz w:val="22"/>
                <w:szCs w:val="22"/>
                <w:lang w:val="en-US"/>
              </w:rPr>
              <w:t>Customers with the highest number of interactions</w:t>
            </w:r>
          </w:p>
        </w:tc>
        <w:tc>
          <w:tcPr>
            <w:tcW w:w="2070" w:type="dxa"/>
          </w:tcPr>
          <w:p w:rsidR="00FF1033" w:rsidRPr="00DF7391" w:rsidRDefault="00FF1033" w:rsidP="00DD4D3A">
            <w:pPr>
              <w:pStyle w:val="BodyText"/>
              <w:snapToGrid w:val="0"/>
              <w:spacing w:before="40" w:after="40"/>
              <w:rPr>
                <w:spacing w:val="-6"/>
                <w:sz w:val="22"/>
                <w:szCs w:val="22"/>
                <w:lang w:val="en-US"/>
              </w:rPr>
            </w:pPr>
            <w:r w:rsidRPr="00FF1033">
              <w:rPr>
                <w:spacing w:val="-6"/>
                <w:sz w:val="22"/>
                <w:szCs w:val="22"/>
                <w:lang w:val="en-US"/>
              </w:rPr>
              <w:t>Proactive engagement for improvement</w:t>
            </w:r>
          </w:p>
        </w:tc>
        <w:tc>
          <w:tcPr>
            <w:tcW w:w="1980" w:type="dxa"/>
          </w:tcPr>
          <w:p w:rsidR="00FF1033" w:rsidRPr="00DF7391" w:rsidRDefault="00FF1033" w:rsidP="00DD4D3A">
            <w:pPr>
              <w:pStyle w:val="BodyText"/>
              <w:snapToGrid w:val="0"/>
              <w:spacing w:before="40" w:after="40"/>
              <w:rPr>
                <w:spacing w:val="-6"/>
                <w:sz w:val="22"/>
                <w:szCs w:val="22"/>
                <w:lang w:val="en-US"/>
              </w:rPr>
            </w:pPr>
            <w:r w:rsidRPr="00FF1033">
              <w:rPr>
                <w:spacing w:val="-6"/>
                <w:sz w:val="22"/>
                <w:szCs w:val="22"/>
                <w:lang w:val="en-US"/>
              </w:rPr>
              <w:t>n/a</w:t>
            </w:r>
          </w:p>
        </w:tc>
      </w:tr>
      <w:tr w:rsidR="00FF1033" w:rsidRPr="006C34E4" w:rsidTr="00621F76">
        <w:trPr>
          <w:trHeight w:val="505"/>
        </w:trPr>
        <w:tc>
          <w:tcPr>
            <w:tcW w:w="1705" w:type="dxa"/>
          </w:tcPr>
          <w:p w:rsidR="00FF1033" w:rsidRPr="00DF7391" w:rsidRDefault="00FF1033" w:rsidP="00DD4D3A">
            <w:pPr>
              <w:pStyle w:val="BodyText"/>
              <w:snapToGrid w:val="0"/>
              <w:spacing w:before="40" w:after="40"/>
              <w:rPr>
                <w:iCs/>
                <w:sz w:val="22"/>
                <w:szCs w:val="22"/>
                <w:lang w:val="en-US"/>
              </w:rPr>
            </w:pPr>
            <w:r w:rsidRPr="00FF1033">
              <w:rPr>
                <w:iCs/>
                <w:sz w:val="22"/>
                <w:szCs w:val="22"/>
                <w:lang w:val="en-US"/>
              </w:rPr>
              <w:t>Lessons Learned</w:t>
            </w:r>
          </w:p>
        </w:tc>
        <w:tc>
          <w:tcPr>
            <w:tcW w:w="2340" w:type="dxa"/>
          </w:tcPr>
          <w:p w:rsidR="00FF1033" w:rsidRPr="00DF7391" w:rsidRDefault="00FF1033" w:rsidP="00DD4D3A">
            <w:pPr>
              <w:pStyle w:val="BodyText"/>
              <w:snapToGrid w:val="0"/>
              <w:spacing w:before="40" w:after="40"/>
              <w:rPr>
                <w:spacing w:val="-6"/>
                <w:sz w:val="22"/>
                <w:szCs w:val="22"/>
                <w:lang w:val="en-US"/>
              </w:rPr>
            </w:pPr>
            <w:r w:rsidRPr="00FF1033">
              <w:rPr>
                <w:spacing w:val="-6"/>
                <w:sz w:val="22"/>
                <w:szCs w:val="22"/>
                <w:lang w:val="en-US"/>
              </w:rPr>
              <w:t>Using customer feedback and best practices for improvement</w:t>
            </w:r>
          </w:p>
        </w:tc>
        <w:tc>
          <w:tcPr>
            <w:tcW w:w="2070" w:type="dxa"/>
          </w:tcPr>
          <w:p w:rsidR="00FF1033" w:rsidRPr="00DF7391" w:rsidRDefault="00FF1033" w:rsidP="00DD4D3A">
            <w:pPr>
              <w:pStyle w:val="BodyText"/>
              <w:snapToGrid w:val="0"/>
              <w:spacing w:before="40" w:after="40"/>
              <w:rPr>
                <w:spacing w:val="-6"/>
                <w:sz w:val="22"/>
                <w:szCs w:val="22"/>
                <w:lang w:val="en-US"/>
              </w:rPr>
            </w:pPr>
            <w:r w:rsidRPr="00FF1033">
              <w:rPr>
                <w:spacing w:val="-6"/>
                <w:sz w:val="22"/>
                <w:szCs w:val="22"/>
                <w:lang w:val="en-US"/>
              </w:rPr>
              <w:t>Identification for improvements</w:t>
            </w:r>
          </w:p>
        </w:tc>
        <w:tc>
          <w:tcPr>
            <w:tcW w:w="1980" w:type="dxa"/>
          </w:tcPr>
          <w:p w:rsidR="00FF1033" w:rsidRPr="00DF7391" w:rsidRDefault="00FF1033" w:rsidP="00DD4D3A">
            <w:pPr>
              <w:pStyle w:val="BodyText"/>
              <w:snapToGrid w:val="0"/>
              <w:spacing w:before="40" w:after="40"/>
              <w:rPr>
                <w:spacing w:val="-6"/>
                <w:sz w:val="22"/>
                <w:szCs w:val="22"/>
                <w:lang w:val="en-US"/>
              </w:rPr>
            </w:pPr>
            <w:r w:rsidRPr="00FF1033">
              <w:rPr>
                <w:spacing w:val="-6"/>
                <w:sz w:val="22"/>
                <w:szCs w:val="22"/>
                <w:lang w:val="en-US"/>
              </w:rPr>
              <w:t>n/a</w:t>
            </w:r>
          </w:p>
        </w:tc>
      </w:tr>
    </w:tbl>
    <w:p w:rsidR="007E693B" w:rsidRDefault="00801842" w:rsidP="0089569B">
      <w:pPr>
        <w:pStyle w:val="BodyText"/>
        <w:tabs>
          <w:tab w:val="left" w:pos="0"/>
        </w:tabs>
        <w:spacing w:before="120"/>
        <w:jc w:val="both"/>
        <w:rPr>
          <w:bCs/>
          <w:sz w:val="22"/>
          <w:szCs w:val="22"/>
          <w:lang w:val="en-US"/>
        </w:rPr>
      </w:pPr>
      <w:r w:rsidRPr="006C34E4">
        <w:rPr>
          <w:bCs/>
          <w:sz w:val="22"/>
          <w:szCs w:val="22"/>
          <w:lang w:val="en-US"/>
        </w:rPr>
        <w:t xml:space="preserve">Source: </w:t>
      </w:r>
      <w:r w:rsidR="00C43B39">
        <w:rPr>
          <w:bCs/>
          <w:sz w:val="22"/>
          <w:szCs w:val="22"/>
          <w:lang w:val="en-US"/>
        </w:rPr>
        <w:t xml:space="preserve"> </w:t>
      </w:r>
      <w:r w:rsidR="00FF1033" w:rsidRPr="00FF1033">
        <w:rPr>
          <w:bCs/>
          <w:sz w:val="22"/>
          <w:szCs w:val="22"/>
          <w:lang w:val="en-US"/>
        </w:rPr>
        <w:t xml:space="preserve">Marquardt, K., Olaru, M. and Ceausu, I., 2017. Study on the Development of Quality Measurements Models for Steering Business Services in Relation to Customer Satisfaction. </w:t>
      </w:r>
      <w:r w:rsidR="00FF1033" w:rsidRPr="00FF1033">
        <w:rPr>
          <w:bCs/>
          <w:i/>
          <w:sz w:val="22"/>
          <w:szCs w:val="22"/>
          <w:lang w:val="en-US"/>
        </w:rPr>
        <w:t>Amfiteatru Economic</w:t>
      </w:r>
      <w:r w:rsidR="00FF1033" w:rsidRPr="00FF1033">
        <w:rPr>
          <w:bCs/>
          <w:sz w:val="22"/>
          <w:szCs w:val="22"/>
          <w:lang w:val="en-US"/>
        </w:rPr>
        <w:t>, 19(44), pp. 95-109</w:t>
      </w:r>
    </w:p>
    <w:p w:rsidR="00A75FE6" w:rsidRDefault="00A75FE6" w:rsidP="00E11418">
      <w:pPr>
        <w:pStyle w:val="BodyText"/>
        <w:tabs>
          <w:tab w:val="left" w:pos="0"/>
        </w:tabs>
        <w:spacing w:before="120"/>
        <w:jc w:val="both"/>
        <w:rPr>
          <w:sz w:val="22"/>
          <w:szCs w:val="22"/>
          <w:lang w:val="en-US"/>
        </w:rPr>
      </w:pPr>
    </w:p>
    <w:p w:rsidR="007E693B" w:rsidRPr="00AD15E5" w:rsidRDefault="007E693B" w:rsidP="00E11418">
      <w:pPr>
        <w:pStyle w:val="BodyText"/>
        <w:tabs>
          <w:tab w:val="left" w:pos="0"/>
        </w:tabs>
        <w:spacing w:before="120"/>
        <w:jc w:val="both"/>
        <w:rPr>
          <w:bCs/>
          <w:sz w:val="22"/>
          <w:szCs w:val="22"/>
        </w:rPr>
      </w:pPr>
      <w:r w:rsidRPr="006C34E4">
        <w:rPr>
          <w:sz w:val="22"/>
          <w:szCs w:val="22"/>
          <w:lang w:val="en-US"/>
        </w:rPr>
        <w:t>References to tables and figures in the text of the article should be made within parentheses, e.g. „(fig. n</w:t>
      </w:r>
      <w:r>
        <w:rPr>
          <w:sz w:val="22"/>
          <w:szCs w:val="22"/>
          <w:lang w:val="en-US"/>
        </w:rPr>
        <w:t>o</w:t>
      </w:r>
      <w:r w:rsidRPr="006C34E4">
        <w:rPr>
          <w:sz w:val="22"/>
          <w:szCs w:val="22"/>
          <w:lang w:val="en-US"/>
        </w:rPr>
        <w:t>.1), (table n</w:t>
      </w:r>
      <w:r>
        <w:rPr>
          <w:sz w:val="22"/>
          <w:szCs w:val="22"/>
          <w:lang w:val="en-US"/>
        </w:rPr>
        <w:t>o</w:t>
      </w:r>
      <w:r w:rsidRPr="006C34E4">
        <w:rPr>
          <w:sz w:val="22"/>
          <w:szCs w:val="22"/>
          <w:lang w:val="en-US"/>
        </w:rPr>
        <w:t>. 1)”.</w:t>
      </w:r>
      <w:r w:rsidR="00E11418">
        <w:rPr>
          <w:sz w:val="22"/>
          <w:szCs w:val="22"/>
          <w:lang w:val="en-US"/>
        </w:rPr>
        <w:t xml:space="preserve"> </w:t>
      </w:r>
      <w:r w:rsidR="00E11418" w:rsidRPr="00E11418">
        <w:rPr>
          <w:sz w:val="22"/>
          <w:szCs w:val="22"/>
          <w:lang w:val="en-US"/>
        </w:rPr>
        <w:t xml:space="preserve">Make sure you have permission </w:t>
      </w:r>
      <w:r w:rsidR="00E11418">
        <w:rPr>
          <w:sz w:val="22"/>
          <w:szCs w:val="22"/>
          <w:lang w:val="en-US"/>
        </w:rPr>
        <w:t xml:space="preserve">to use </w:t>
      </w:r>
      <w:r w:rsidR="00E11418" w:rsidRPr="00E11418">
        <w:rPr>
          <w:sz w:val="22"/>
          <w:szCs w:val="22"/>
          <w:lang w:val="en-US"/>
        </w:rPr>
        <w:t>any previ</w:t>
      </w:r>
      <w:r w:rsidR="00E11418">
        <w:rPr>
          <w:sz w:val="22"/>
          <w:szCs w:val="22"/>
          <w:lang w:val="en-US"/>
        </w:rPr>
        <w:t>ously published figure or table, t</w:t>
      </w:r>
      <w:r w:rsidR="00E11418" w:rsidRPr="00E11418">
        <w:rPr>
          <w:sz w:val="22"/>
          <w:szCs w:val="22"/>
          <w:lang w:val="en-US"/>
        </w:rPr>
        <w:t xml:space="preserve">his is the sole responsibility of the author(s).       </w:t>
      </w:r>
    </w:p>
    <w:p w:rsidR="00801842" w:rsidRDefault="00801842">
      <w:pPr>
        <w:jc w:val="both"/>
        <w:rPr>
          <w:bCs/>
          <w:sz w:val="22"/>
          <w:szCs w:val="22"/>
          <w:lang w:val="en-US"/>
        </w:rPr>
      </w:pPr>
    </w:p>
    <w:p w:rsidR="00801842" w:rsidRPr="00AD15E5" w:rsidRDefault="007110A7" w:rsidP="00AD15E5">
      <w:pPr>
        <w:spacing w:after="120"/>
        <w:jc w:val="center"/>
        <w:rPr>
          <w:bCs/>
          <w:sz w:val="22"/>
          <w:szCs w:val="22"/>
          <w:lang w:val="en-US"/>
        </w:rPr>
      </w:pPr>
      <w:r>
        <w:rPr>
          <w:bCs/>
          <w:noProof/>
          <w:sz w:val="22"/>
          <w:szCs w:val="22"/>
          <w:lang w:val="en-US" w:eastAsia="en-US"/>
        </w:rPr>
        <w:drawing>
          <wp:inline distT="0" distB="0" distL="0" distR="0">
            <wp:extent cx="3790950" cy="2038350"/>
            <wp:effectExtent l="0" t="0" r="0" b="0"/>
            <wp:docPr id="1" name="Picture 1" descr="Economic Outlook 2_v3_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ic Outlook 2_v3_press"/>
                    <pic:cNvPicPr>
                      <a:picLocks noChangeAspect="1" noChangeArrowheads="1"/>
                    </pic:cNvPicPr>
                  </pic:nvPicPr>
                  <pic:blipFill>
                    <a:blip r:embed="rId8">
                      <a:extLst>
                        <a:ext uri="{28A0092B-C50C-407E-A947-70E740481C1C}">
                          <a14:useLocalDpi xmlns:a14="http://schemas.microsoft.com/office/drawing/2010/main" val="0"/>
                        </a:ext>
                      </a:extLst>
                    </a:blip>
                    <a:srcRect l="1666" t="16547" r="2618" b="5756"/>
                    <a:stretch>
                      <a:fillRect/>
                    </a:stretch>
                  </pic:blipFill>
                  <pic:spPr bwMode="auto">
                    <a:xfrm>
                      <a:off x="0" y="0"/>
                      <a:ext cx="3790950" cy="2038350"/>
                    </a:xfrm>
                    <a:prstGeom prst="rect">
                      <a:avLst/>
                    </a:prstGeom>
                    <a:noFill/>
                    <a:ln>
                      <a:noFill/>
                    </a:ln>
                  </pic:spPr>
                </pic:pic>
              </a:graphicData>
            </a:graphic>
          </wp:inline>
        </w:drawing>
      </w:r>
    </w:p>
    <w:p w:rsidR="00801842" w:rsidRPr="00AD15E5" w:rsidRDefault="00801842" w:rsidP="00AD15E5">
      <w:pPr>
        <w:pStyle w:val="BodyText"/>
        <w:tabs>
          <w:tab w:val="left" w:pos="0"/>
        </w:tabs>
        <w:jc w:val="center"/>
        <w:rPr>
          <w:b/>
          <w:sz w:val="22"/>
          <w:szCs w:val="22"/>
          <w:lang w:val="en-US"/>
        </w:rPr>
      </w:pPr>
      <w:r w:rsidRPr="00AD15E5">
        <w:rPr>
          <w:b/>
          <w:bCs/>
          <w:iCs/>
          <w:sz w:val="22"/>
          <w:szCs w:val="22"/>
          <w:lang w:val="en-US"/>
        </w:rPr>
        <w:t>Fig. no. 1</w:t>
      </w:r>
      <w:r w:rsidRPr="00AD15E5">
        <w:rPr>
          <w:b/>
          <w:sz w:val="22"/>
          <w:szCs w:val="22"/>
          <w:lang w:val="en-US"/>
        </w:rPr>
        <w:t xml:space="preserve"> </w:t>
      </w:r>
      <w:r w:rsidR="00AD15E5" w:rsidRPr="00AD15E5">
        <w:rPr>
          <w:b/>
          <w:sz w:val="22"/>
          <w:szCs w:val="22"/>
          <w:lang w:val="en-US"/>
        </w:rPr>
        <w:t>Global growth – Real GDP, % change, year-on-year</w:t>
      </w:r>
    </w:p>
    <w:p w:rsidR="00801842" w:rsidRPr="00AD15E5" w:rsidRDefault="00FE1400" w:rsidP="00C334F3">
      <w:pPr>
        <w:pStyle w:val="BodyText"/>
        <w:tabs>
          <w:tab w:val="left" w:pos="0"/>
        </w:tabs>
        <w:jc w:val="both"/>
        <w:rPr>
          <w:bCs/>
          <w:sz w:val="22"/>
          <w:szCs w:val="22"/>
          <w:lang w:val="en-US"/>
        </w:rPr>
      </w:pPr>
      <w:r w:rsidRPr="00FE1400">
        <w:rPr>
          <w:bCs/>
          <w:sz w:val="22"/>
          <w:szCs w:val="22"/>
          <w:lang w:val="en-US"/>
        </w:rPr>
        <w:t xml:space="preserve">Source: </w:t>
      </w:r>
      <w:r w:rsidR="00AD15E5">
        <w:rPr>
          <w:bCs/>
          <w:sz w:val="22"/>
          <w:szCs w:val="22"/>
          <w:lang w:val="en-US"/>
        </w:rPr>
        <w:t xml:space="preserve">OECD, 2017. </w:t>
      </w:r>
      <w:r w:rsidR="00AD15E5" w:rsidRPr="00AD15E5">
        <w:rPr>
          <w:bCs/>
          <w:i/>
          <w:sz w:val="22"/>
          <w:szCs w:val="22"/>
          <w:lang w:val="en-US"/>
        </w:rPr>
        <w:t>OECD Economic Outlook</w:t>
      </w:r>
      <w:r w:rsidR="00AD15E5" w:rsidRPr="00AD15E5">
        <w:rPr>
          <w:bCs/>
          <w:sz w:val="22"/>
          <w:szCs w:val="22"/>
          <w:lang w:val="en-US"/>
        </w:rPr>
        <w:t>, Volume 2017 Issue 2, OECD Publishing, Paris.</w:t>
      </w:r>
      <w:r w:rsidR="00AD15E5">
        <w:rPr>
          <w:bCs/>
          <w:sz w:val="22"/>
          <w:szCs w:val="22"/>
          <w:lang w:val="en-US"/>
        </w:rPr>
        <w:t xml:space="preserve"> </w:t>
      </w:r>
      <w:r w:rsidR="00AD15E5" w:rsidRPr="00AD15E5">
        <w:rPr>
          <w:bCs/>
          <w:sz w:val="22"/>
          <w:szCs w:val="22"/>
          <w:lang w:val="en-US"/>
        </w:rPr>
        <w:t>http://dx.doi.org/10.1787/eco_outlook-v2017-2-en</w:t>
      </w:r>
    </w:p>
    <w:p w:rsidR="00801842" w:rsidRPr="006C34E4" w:rsidRDefault="00801842">
      <w:pPr>
        <w:ind w:firstLine="709"/>
        <w:jc w:val="both"/>
        <w:rPr>
          <w:b/>
          <w:bCs/>
          <w:sz w:val="22"/>
          <w:szCs w:val="22"/>
          <w:lang w:val="fr-FR"/>
        </w:rPr>
      </w:pPr>
    </w:p>
    <w:p w:rsidR="00801842" w:rsidRPr="006C34E4" w:rsidRDefault="00801842">
      <w:pPr>
        <w:numPr>
          <w:ilvl w:val="0"/>
          <w:numId w:val="2"/>
        </w:numPr>
        <w:tabs>
          <w:tab w:val="left" w:pos="720"/>
          <w:tab w:val="left" w:pos="1080"/>
          <w:tab w:val="left" w:pos="1260"/>
          <w:tab w:val="left" w:pos="1440"/>
        </w:tabs>
        <w:ind w:left="540" w:firstLine="0"/>
        <w:jc w:val="both"/>
        <w:rPr>
          <w:strike/>
          <w:sz w:val="22"/>
          <w:szCs w:val="22"/>
          <w:lang w:val="en-US"/>
        </w:rPr>
      </w:pPr>
      <w:r w:rsidRPr="006C34E4">
        <w:rPr>
          <w:b/>
          <w:sz w:val="22"/>
          <w:szCs w:val="22"/>
          <w:lang w:val="en-US"/>
        </w:rPr>
        <w:t>Equations and formulas</w:t>
      </w:r>
      <w:r w:rsidRPr="006C34E4">
        <w:rPr>
          <w:sz w:val="22"/>
          <w:szCs w:val="22"/>
          <w:lang w:val="en-US"/>
        </w:rPr>
        <w:t xml:space="preserve"> should be numbered. The numbers are to be justified to the right, within parentheses.</w:t>
      </w:r>
    </w:p>
    <w:p w:rsidR="00801842" w:rsidRDefault="00801842">
      <w:pPr>
        <w:jc w:val="both"/>
        <w:rPr>
          <w:sz w:val="22"/>
          <w:szCs w:val="22"/>
          <w:lang w:val="en-US"/>
        </w:rPr>
      </w:pPr>
    </w:p>
    <w:p w:rsidR="00920AC9" w:rsidRPr="006C34E4" w:rsidRDefault="00920AC9">
      <w:pPr>
        <w:jc w:val="both"/>
        <w:rPr>
          <w:sz w:val="22"/>
          <w:szCs w:val="22"/>
          <w:lang w:val="en-US"/>
        </w:rPr>
      </w:pPr>
    </w:p>
    <w:p w:rsidR="00801842" w:rsidRPr="006C34E4" w:rsidRDefault="00801842">
      <w:pPr>
        <w:jc w:val="both"/>
        <w:rPr>
          <w:sz w:val="22"/>
          <w:szCs w:val="22"/>
          <w:lang w:val="en-US"/>
        </w:rPr>
      </w:pPr>
      <w:r w:rsidRPr="006C34E4">
        <w:rPr>
          <w:sz w:val="22"/>
          <w:szCs w:val="22"/>
          <w:lang w:val="en-US"/>
        </w:rPr>
        <w:t>Examples of equations:</w:t>
      </w:r>
    </w:p>
    <w:p w:rsidR="00801842" w:rsidRPr="006C34E4" w:rsidRDefault="00801842">
      <w:pPr>
        <w:jc w:val="both"/>
        <w:rPr>
          <w:sz w:val="22"/>
          <w:szCs w:val="22"/>
          <w:lang w:val="en-US"/>
        </w:rPr>
      </w:pPr>
    </w:p>
    <w:p w:rsidR="00801842" w:rsidRPr="006C34E4" w:rsidRDefault="00801842">
      <w:pPr>
        <w:jc w:val="center"/>
        <w:rPr>
          <w:sz w:val="22"/>
          <w:szCs w:val="22"/>
          <w:lang w:val="en-US"/>
        </w:rPr>
      </w:pPr>
      <w:r w:rsidRPr="006C34E4">
        <w:rPr>
          <w:sz w:val="22"/>
          <w:szCs w:val="22"/>
          <w:lang w:val="en-US"/>
        </w:rPr>
        <w:t>IGDPc=IE</w:t>
      </w:r>
      <w:r w:rsidRPr="006C34E4">
        <w:rPr>
          <w:sz w:val="22"/>
          <w:szCs w:val="22"/>
          <w:vertAlign w:val="superscript"/>
          <w:lang w:val="en-US"/>
        </w:rPr>
        <w:t xml:space="preserve">α </w:t>
      </w:r>
      <w:r w:rsidRPr="006C34E4">
        <w:rPr>
          <w:sz w:val="22"/>
          <w:szCs w:val="22"/>
          <w:lang w:val="en-US"/>
        </w:rPr>
        <w:t>ICKc</w:t>
      </w:r>
      <w:r w:rsidRPr="006C34E4">
        <w:rPr>
          <w:sz w:val="22"/>
          <w:szCs w:val="22"/>
          <w:vertAlign w:val="superscript"/>
          <w:lang w:val="en-US"/>
        </w:rPr>
        <w:t>(1-α)</w:t>
      </w:r>
      <w:r w:rsidRPr="006C34E4">
        <w:rPr>
          <w:sz w:val="22"/>
          <w:szCs w:val="22"/>
          <w:lang w:val="en-US"/>
        </w:rPr>
        <w:t>ITFP                                                                                                     (1)</w:t>
      </w:r>
    </w:p>
    <w:p w:rsidR="00801842" w:rsidRPr="006C34E4" w:rsidRDefault="00801842">
      <w:pPr>
        <w:pStyle w:val="t13"/>
        <w:widowControl/>
        <w:autoSpaceDE/>
        <w:spacing w:line="240" w:lineRule="auto"/>
        <w:rPr>
          <w:sz w:val="22"/>
          <w:szCs w:val="22"/>
        </w:rPr>
      </w:pPr>
    </w:p>
    <w:p w:rsidR="00801842" w:rsidRPr="006C34E4" w:rsidRDefault="00801842">
      <w:pPr>
        <w:pStyle w:val="t13"/>
        <w:widowControl/>
        <w:autoSpaceDE/>
        <w:spacing w:line="240" w:lineRule="auto"/>
        <w:rPr>
          <w:sz w:val="22"/>
          <w:szCs w:val="22"/>
        </w:rPr>
      </w:pPr>
      <w:r w:rsidRPr="006C34E4">
        <w:rPr>
          <w:sz w:val="22"/>
          <w:szCs w:val="22"/>
        </w:rPr>
        <w:t>where:</w:t>
      </w:r>
    </w:p>
    <w:p w:rsidR="00801842" w:rsidRPr="006C34E4" w:rsidRDefault="00801842">
      <w:pPr>
        <w:ind w:firstLine="720"/>
        <w:jc w:val="both"/>
        <w:rPr>
          <w:sz w:val="22"/>
          <w:szCs w:val="22"/>
          <w:lang w:val="en-US"/>
        </w:rPr>
      </w:pPr>
      <w:r w:rsidRPr="006C34E4">
        <w:rPr>
          <w:sz w:val="22"/>
          <w:szCs w:val="22"/>
          <w:lang w:val="en-US"/>
        </w:rPr>
        <w:t xml:space="preserve">IGDPc </w:t>
      </w:r>
      <w:r w:rsidRPr="006C34E4">
        <w:rPr>
          <w:sz w:val="22"/>
          <w:szCs w:val="22"/>
          <w:lang w:val="en-US"/>
        </w:rPr>
        <w:tab/>
        <w:t>– index of GDP in constant prices</w:t>
      </w:r>
    </w:p>
    <w:p w:rsidR="00801842" w:rsidRPr="006C34E4" w:rsidRDefault="00801842">
      <w:pPr>
        <w:ind w:firstLine="720"/>
        <w:jc w:val="both"/>
        <w:rPr>
          <w:sz w:val="22"/>
          <w:szCs w:val="22"/>
          <w:lang w:val="en-US"/>
        </w:rPr>
      </w:pPr>
      <w:r w:rsidRPr="006C34E4">
        <w:rPr>
          <w:sz w:val="22"/>
          <w:szCs w:val="22"/>
          <w:lang w:val="en-US"/>
        </w:rPr>
        <w:t xml:space="preserve">IE </w:t>
      </w:r>
      <w:r w:rsidRPr="006C34E4">
        <w:rPr>
          <w:sz w:val="22"/>
          <w:szCs w:val="22"/>
          <w:lang w:val="en-US"/>
        </w:rPr>
        <w:tab/>
        <w:t xml:space="preserve">– capacity utilization index </w:t>
      </w:r>
    </w:p>
    <w:p w:rsidR="00801842" w:rsidRPr="006C34E4" w:rsidRDefault="00801842">
      <w:pPr>
        <w:ind w:firstLine="720"/>
        <w:jc w:val="both"/>
        <w:rPr>
          <w:sz w:val="22"/>
          <w:szCs w:val="22"/>
          <w:lang w:val="en-US"/>
        </w:rPr>
      </w:pPr>
      <w:r w:rsidRPr="006C34E4">
        <w:rPr>
          <w:sz w:val="22"/>
          <w:szCs w:val="22"/>
          <w:lang w:val="en-US"/>
        </w:rPr>
        <w:t xml:space="preserve">α </w:t>
      </w:r>
      <w:r w:rsidRPr="006C34E4">
        <w:rPr>
          <w:sz w:val="22"/>
          <w:szCs w:val="22"/>
          <w:lang w:val="en-US"/>
        </w:rPr>
        <w:tab/>
        <w:t>– elasticity of industrial output</w:t>
      </w:r>
    </w:p>
    <w:p w:rsidR="00801842" w:rsidRPr="006C34E4" w:rsidRDefault="00801842">
      <w:pPr>
        <w:ind w:firstLine="720"/>
        <w:jc w:val="both"/>
        <w:rPr>
          <w:sz w:val="22"/>
          <w:szCs w:val="22"/>
          <w:lang w:val="en-US"/>
        </w:rPr>
      </w:pPr>
      <w:r w:rsidRPr="006C34E4">
        <w:rPr>
          <w:sz w:val="22"/>
          <w:szCs w:val="22"/>
          <w:lang w:val="en-US"/>
        </w:rPr>
        <w:t xml:space="preserve">ICKc </w:t>
      </w:r>
      <w:r w:rsidRPr="006C34E4">
        <w:rPr>
          <w:sz w:val="22"/>
          <w:szCs w:val="22"/>
          <w:lang w:val="en-US"/>
        </w:rPr>
        <w:tab/>
        <w:t>– index of active assets at constant prices</w:t>
      </w:r>
    </w:p>
    <w:p w:rsidR="00801842" w:rsidRPr="006C34E4" w:rsidRDefault="00801842">
      <w:pPr>
        <w:pStyle w:val="t13"/>
        <w:widowControl/>
        <w:autoSpaceDE/>
        <w:spacing w:line="240" w:lineRule="auto"/>
        <w:ind w:firstLine="720"/>
        <w:jc w:val="both"/>
        <w:rPr>
          <w:strike/>
          <w:sz w:val="22"/>
          <w:szCs w:val="22"/>
        </w:rPr>
      </w:pPr>
      <w:r w:rsidRPr="006C34E4">
        <w:rPr>
          <w:sz w:val="22"/>
          <w:szCs w:val="22"/>
        </w:rPr>
        <w:t xml:space="preserve">ITFP </w:t>
      </w:r>
      <w:r w:rsidRPr="006C34E4">
        <w:rPr>
          <w:sz w:val="22"/>
          <w:szCs w:val="22"/>
        </w:rPr>
        <w:tab/>
        <w:t>– productivity index.</w:t>
      </w:r>
      <w:r w:rsidRPr="006C34E4">
        <w:rPr>
          <w:strike/>
          <w:sz w:val="22"/>
          <w:szCs w:val="22"/>
        </w:rPr>
        <w:t xml:space="preserve">                        </w:t>
      </w:r>
    </w:p>
    <w:p w:rsidR="00801842" w:rsidRPr="006C34E4" w:rsidRDefault="00801842">
      <w:pPr>
        <w:jc w:val="both"/>
        <w:rPr>
          <w:sz w:val="22"/>
          <w:szCs w:val="22"/>
          <w:shd w:val="clear" w:color="auto" w:fill="FFFF00"/>
          <w:lang w:val="en-US"/>
        </w:rPr>
      </w:pPr>
    </w:p>
    <w:p w:rsidR="00801842" w:rsidRPr="006C34E4" w:rsidRDefault="00801842">
      <w:pPr>
        <w:jc w:val="both"/>
        <w:rPr>
          <w:sz w:val="22"/>
          <w:szCs w:val="22"/>
          <w:shd w:val="clear" w:color="auto" w:fill="FFFF00"/>
          <w:lang w:val="en-US"/>
        </w:rPr>
      </w:pPr>
    </w:p>
    <w:p w:rsidR="00801842" w:rsidRPr="006C34E4" w:rsidRDefault="00801842">
      <w:pPr>
        <w:numPr>
          <w:ilvl w:val="0"/>
          <w:numId w:val="2"/>
        </w:numPr>
        <w:tabs>
          <w:tab w:val="left" w:pos="720"/>
          <w:tab w:val="left" w:pos="1260"/>
          <w:tab w:val="left" w:pos="1440"/>
        </w:tabs>
        <w:ind w:left="540" w:firstLine="0"/>
        <w:jc w:val="both"/>
        <w:rPr>
          <w:sz w:val="22"/>
          <w:szCs w:val="22"/>
          <w:lang w:val="en-US"/>
        </w:rPr>
      </w:pPr>
      <w:r w:rsidRPr="006C34E4">
        <w:rPr>
          <w:b/>
          <w:sz w:val="22"/>
          <w:szCs w:val="22"/>
          <w:lang w:val="en-US"/>
        </w:rPr>
        <w:t>Abbreviations and acronyms</w:t>
      </w:r>
      <w:r w:rsidRPr="006C34E4">
        <w:rPr>
          <w:sz w:val="22"/>
          <w:szCs w:val="22"/>
          <w:lang w:val="en-US"/>
        </w:rPr>
        <w:t xml:space="preserve"> should be defined the first time they are used in the text.</w:t>
      </w:r>
    </w:p>
    <w:p w:rsidR="00801842" w:rsidRDefault="00801842">
      <w:pPr>
        <w:jc w:val="both"/>
        <w:rPr>
          <w:b/>
          <w:sz w:val="22"/>
          <w:szCs w:val="22"/>
          <w:lang w:val="en-US"/>
        </w:rPr>
      </w:pPr>
    </w:p>
    <w:p w:rsidR="00920AC9" w:rsidRPr="006C34E4" w:rsidRDefault="00920AC9">
      <w:pPr>
        <w:jc w:val="both"/>
        <w:rPr>
          <w:b/>
          <w:sz w:val="22"/>
          <w:szCs w:val="22"/>
          <w:lang w:val="en-US"/>
        </w:rPr>
      </w:pPr>
    </w:p>
    <w:p w:rsidR="00801842" w:rsidRPr="006C34E4" w:rsidRDefault="00801842" w:rsidP="00AD15E5">
      <w:pPr>
        <w:rPr>
          <w:iCs/>
          <w:sz w:val="22"/>
          <w:szCs w:val="22"/>
          <w:lang w:val="en-US"/>
        </w:rPr>
      </w:pPr>
      <w:r w:rsidRPr="006C34E4">
        <w:rPr>
          <w:iCs/>
          <w:sz w:val="22"/>
          <w:szCs w:val="22"/>
          <w:lang w:val="en-US"/>
        </w:rPr>
        <w:t>Examples of abbreviations and acronyms:</w:t>
      </w:r>
    </w:p>
    <w:p w:rsidR="00801842" w:rsidRPr="006C34E4" w:rsidRDefault="00801842" w:rsidP="00AD15E5">
      <w:pPr>
        <w:ind w:firstLine="540"/>
        <w:rPr>
          <w:iCs/>
          <w:sz w:val="22"/>
          <w:szCs w:val="22"/>
          <w:lang w:val="en-US"/>
        </w:rPr>
      </w:pPr>
      <w:r w:rsidRPr="006C34E4">
        <w:rPr>
          <w:iCs/>
          <w:sz w:val="22"/>
          <w:szCs w:val="22"/>
          <w:lang w:val="en-US"/>
        </w:rPr>
        <w:t>agr. – agriculture</w:t>
      </w:r>
    </w:p>
    <w:p w:rsidR="00801842" w:rsidRPr="006C34E4" w:rsidRDefault="00801842" w:rsidP="00AD15E5">
      <w:pPr>
        <w:ind w:firstLine="540"/>
        <w:rPr>
          <w:iCs/>
          <w:sz w:val="22"/>
          <w:szCs w:val="22"/>
          <w:lang w:val="en-US"/>
        </w:rPr>
      </w:pPr>
      <w:r w:rsidRPr="006C34E4">
        <w:rPr>
          <w:iCs/>
          <w:sz w:val="22"/>
          <w:szCs w:val="22"/>
          <w:lang w:val="en-US"/>
        </w:rPr>
        <w:t>biol. – biology</w:t>
      </w:r>
    </w:p>
    <w:p w:rsidR="00801842" w:rsidRPr="006C34E4" w:rsidRDefault="00801842" w:rsidP="00AD15E5">
      <w:pPr>
        <w:ind w:firstLine="540"/>
        <w:rPr>
          <w:iCs/>
          <w:sz w:val="22"/>
          <w:szCs w:val="22"/>
          <w:lang w:val="en-US"/>
        </w:rPr>
      </w:pPr>
      <w:r w:rsidRPr="006C34E4">
        <w:rPr>
          <w:iCs/>
          <w:sz w:val="22"/>
          <w:szCs w:val="22"/>
          <w:lang w:val="en-US"/>
        </w:rPr>
        <w:t>cyb. – cybernetics</w:t>
      </w:r>
    </w:p>
    <w:p w:rsidR="00801842" w:rsidRPr="006C34E4" w:rsidRDefault="00801842" w:rsidP="00AD15E5">
      <w:pPr>
        <w:ind w:firstLine="540"/>
        <w:rPr>
          <w:iCs/>
          <w:sz w:val="22"/>
          <w:szCs w:val="22"/>
          <w:lang w:val="en-US"/>
        </w:rPr>
      </w:pPr>
      <w:r w:rsidRPr="006C34E4">
        <w:rPr>
          <w:iCs/>
          <w:sz w:val="22"/>
          <w:szCs w:val="22"/>
          <w:lang w:val="en-US"/>
        </w:rPr>
        <w:t>ec. – economy</w:t>
      </w:r>
    </w:p>
    <w:p w:rsidR="00801842" w:rsidRPr="006C34E4" w:rsidRDefault="00801842" w:rsidP="00AD15E5">
      <w:pPr>
        <w:ind w:firstLine="540"/>
        <w:rPr>
          <w:iCs/>
          <w:sz w:val="22"/>
          <w:szCs w:val="22"/>
          <w:lang w:val="en-US"/>
        </w:rPr>
      </w:pPr>
      <w:r w:rsidRPr="006C34E4">
        <w:rPr>
          <w:iCs/>
          <w:sz w:val="22"/>
          <w:szCs w:val="22"/>
          <w:lang w:val="en-US"/>
        </w:rPr>
        <w:t>IT – information technology</w:t>
      </w:r>
    </w:p>
    <w:p w:rsidR="00801842" w:rsidRPr="006C34E4" w:rsidRDefault="00801842" w:rsidP="00AD15E5">
      <w:pPr>
        <w:ind w:firstLine="540"/>
        <w:rPr>
          <w:iCs/>
          <w:sz w:val="22"/>
          <w:szCs w:val="22"/>
          <w:lang w:val="en-US"/>
        </w:rPr>
      </w:pPr>
      <w:r w:rsidRPr="006C34E4">
        <w:rPr>
          <w:iCs/>
          <w:sz w:val="22"/>
          <w:szCs w:val="22"/>
          <w:lang w:val="en-US"/>
        </w:rPr>
        <w:t>CEEC – Central and Eastern Europe Countries</w:t>
      </w:r>
    </w:p>
    <w:p w:rsidR="00801842" w:rsidRPr="006C34E4" w:rsidRDefault="00801842" w:rsidP="00AD15E5">
      <w:pPr>
        <w:ind w:firstLine="540"/>
        <w:rPr>
          <w:iCs/>
          <w:sz w:val="22"/>
          <w:szCs w:val="22"/>
          <w:lang w:val="en-US"/>
        </w:rPr>
      </w:pPr>
      <w:r w:rsidRPr="006C34E4">
        <w:rPr>
          <w:iCs/>
          <w:sz w:val="22"/>
          <w:szCs w:val="22"/>
          <w:lang w:val="en-US"/>
        </w:rPr>
        <w:t>CSR – Corporate Social Responsibility</w:t>
      </w:r>
    </w:p>
    <w:p w:rsidR="00801842" w:rsidRPr="006C34E4" w:rsidRDefault="00801842" w:rsidP="00AD15E5">
      <w:pPr>
        <w:ind w:firstLine="540"/>
        <w:rPr>
          <w:iCs/>
          <w:sz w:val="22"/>
          <w:szCs w:val="22"/>
          <w:lang w:val="en-US"/>
        </w:rPr>
      </w:pPr>
      <w:r w:rsidRPr="006C34E4">
        <w:rPr>
          <w:iCs/>
          <w:sz w:val="22"/>
          <w:szCs w:val="22"/>
          <w:lang w:val="en-US"/>
        </w:rPr>
        <w:t>GMES – Global Monitoring for the Environment and Security</w:t>
      </w:r>
    </w:p>
    <w:p w:rsidR="00801842" w:rsidRPr="006C34E4" w:rsidRDefault="00801842" w:rsidP="00AD15E5">
      <w:pPr>
        <w:ind w:firstLine="540"/>
        <w:rPr>
          <w:iCs/>
          <w:sz w:val="22"/>
          <w:szCs w:val="22"/>
          <w:lang w:val="en-US"/>
        </w:rPr>
      </w:pPr>
      <w:r w:rsidRPr="006C34E4">
        <w:rPr>
          <w:iCs/>
          <w:sz w:val="22"/>
          <w:szCs w:val="22"/>
          <w:lang w:val="en-US"/>
        </w:rPr>
        <w:t>MRA – Mutual Recognition Agreement</w:t>
      </w:r>
    </w:p>
    <w:p w:rsidR="00801842" w:rsidRPr="006C34E4" w:rsidRDefault="00801842">
      <w:pPr>
        <w:jc w:val="both"/>
        <w:rPr>
          <w:iCs/>
          <w:sz w:val="22"/>
          <w:szCs w:val="22"/>
          <w:lang w:val="en-US"/>
        </w:rPr>
      </w:pPr>
    </w:p>
    <w:p w:rsidR="00801842" w:rsidRPr="006C34E4" w:rsidRDefault="00801842">
      <w:pPr>
        <w:rPr>
          <w:b/>
          <w:bCs/>
          <w:sz w:val="22"/>
          <w:szCs w:val="22"/>
          <w:lang w:val="en-US"/>
        </w:rPr>
      </w:pPr>
      <w:r w:rsidRPr="006C34E4">
        <w:rPr>
          <w:b/>
          <w:bCs/>
          <w:sz w:val="22"/>
          <w:szCs w:val="22"/>
          <w:lang w:val="en-US"/>
        </w:rPr>
        <w:t>Conclusions</w:t>
      </w:r>
    </w:p>
    <w:p w:rsidR="00801842" w:rsidRPr="006C34E4" w:rsidRDefault="00801842">
      <w:pPr>
        <w:jc w:val="both"/>
        <w:rPr>
          <w:sz w:val="22"/>
          <w:szCs w:val="22"/>
          <w:lang w:val="en-US"/>
        </w:rPr>
      </w:pPr>
      <w:r w:rsidRPr="006C34E4">
        <w:rPr>
          <w:sz w:val="22"/>
          <w:szCs w:val="22"/>
          <w:lang w:val="en-US"/>
        </w:rPr>
        <w:t>A conclusion section is required. Conclusions should provide a synthesis of the main contributions of the paper, dis</w:t>
      </w:r>
      <w:r w:rsidR="00BB32A0">
        <w:rPr>
          <w:sz w:val="22"/>
          <w:szCs w:val="22"/>
          <w:lang w:val="en-US"/>
        </w:rPr>
        <w:t>cuss the importance of the work</w:t>
      </w:r>
      <w:r w:rsidRPr="006C34E4">
        <w:rPr>
          <w:sz w:val="22"/>
          <w:szCs w:val="22"/>
          <w:lang w:val="en-US"/>
        </w:rPr>
        <w:t xml:space="preserve"> and suggest possible applications and extensions of the research. </w:t>
      </w:r>
    </w:p>
    <w:p w:rsidR="00801842" w:rsidRPr="006C34E4" w:rsidRDefault="00801842" w:rsidP="007E693B">
      <w:pPr>
        <w:jc w:val="both"/>
        <w:rPr>
          <w:b/>
          <w:sz w:val="22"/>
          <w:szCs w:val="22"/>
          <w:lang w:val="en-US"/>
        </w:rPr>
      </w:pPr>
    </w:p>
    <w:p w:rsidR="00801842" w:rsidRPr="006C34E4" w:rsidRDefault="00801842">
      <w:pPr>
        <w:rPr>
          <w:b/>
          <w:bCs/>
          <w:sz w:val="22"/>
          <w:szCs w:val="22"/>
          <w:lang w:val="en-US"/>
        </w:rPr>
      </w:pPr>
      <w:r w:rsidRPr="006C34E4">
        <w:rPr>
          <w:b/>
          <w:bCs/>
          <w:sz w:val="22"/>
          <w:szCs w:val="22"/>
          <w:lang w:val="en-US"/>
        </w:rPr>
        <w:t xml:space="preserve">References/Bibliography </w:t>
      </w:r>
    </w:p>
    <w:p w:rsidR="007E693B" w:rsidRDefault="0082272B" w:rsidP="006E07A5">
      <w:pPr>
        <w:jc w:val="both"/>
        <w:rPr>
          <w:sz w:val="22"/>
          <w:szCs w:val="22"/>
          <w:lang w:val="en-US"/>
        </w:rPr>
      </w:pPr>
      <w:r w:rsidRPr="006C34E4">
        <w:rPr>
          <w:sz w:val="22"/>
          <w:szCs w:val="22"/>
          <w:lang w:val="en-US"/>
        </w:rPr>
        <w:t xml:space="preserve">It is required </w:t>
      </w:r>
      <w:r w:rsidR="00801842" w:rsidRPr="006C34E4">
        <w:rPr>
          <w:sz w:val="22"/>
          <w:szCs w:val="22"/>
          <w:lang w:val="en-US"/>
        </w:rPr>
        <w:t>the Harvard referencing style, developed by Anglia Ruskin University</w:t>
      </w:r>
      <w:r w:rsidR="006E07A5">
        <w:rPr>
          <w:sz w:val="22"/>
          <w:szCs w:val="22"/>
          <w:lang w:val="en-US"/>
        </w:rPr>
        <w:t xml:space="preserve"> </w:t>
      </w:r>
      <w:r w:rsidR="00592069">
        <w:rPr>
          <w:sz w:val="22"/>
          <w:szCs w:val="22"/>
          <w:lang w:val="en-US"/>
        </w:rPr>
        <w:t>(</w:t>
      </w:r>
      <w:hyperlink r:id="rId9" w:history="1">
        <w:r w:rsidR="00C334F3" w:rsidRPr="00C40BB3">
          <w:rPr>
            <w:rStyle w:val="Hyperlink"/>
            <w:sz w:val="22"/>
            <w:szCs w:val="22"/>
            <w:lang w:val="en-US"/>
          </w:rPr>
          <w:t>http://libweb.anglia.ac.uk/referencing/harvard.htm</w:t>
        </w:r>
      </w:hyperlink>
      <w:r w:rsidR="00592069">
        <w:rPr>
          <w:sz w:val="22"/>
          <w:szCs w:val="22"/>
          <w:lang w:val="en-US"/>
        </w:rPr>
        <w:t>)</w:t>
      </w:r>
      <w:r w:rsidR="00C334F3">
        <w:rPr>
          <w:sz w:val="22"/>
          <w:szCs w:val="22"/>
          <w:lang w:val="en-US"/>
        </w:rPr>
        <w:t>.</w:t>
      </w:r>
      <w:r w:rsidR="006E07A5">
        <w:rPr>
          <w:sz w:val="22"/>
          <w:szCs w:val="22"/>
          <w:lang w:val="en-US"/>
        </w:rPr>
        <w:t xml:space="preserve"> </w:t>
      </w:r>
      <w:r w:rsidR="00D265E3" w:rsidRPr="00D265E3">
        <w:rPr>
          <w:sz w:val="22"/>
          <w:szCs w:val="22"/>
          <w:lang w:val="en-US"/>
        </w:rPr>
        <w:t>References should be arranged</w:t>
      </w:r>
      <w:r w:rsidR="00C334F3">
        <w:rPr>
          <w:sz w:val="22"/>
          <w:szCs w:val="22"/>
          <w:lang w:val="en-US"/>
        </w:rPr>
        <w:t xml:space="preserve"> </w:t>
      </w:r>
      <w:r w:rsidR="00D265E3" w:rsidRPr="00D265E3">
        <w:rPr>
          <w:sz w:val="22"/>
          <w:szCs w:val="22"/>
          <w:lang w:val="en-US"/>
        </w:rPr>
        <w:t>alphabetically without numbers.</w:t>
      </w:r>
      <w:r w:rsidR="00D265E3" w:rsidRPr="006C34E4" w:rsidDel="00D265E3">
        <w:rPr>
          <w:sz w:val="22"/>
          <w:szCs w:val="22"/>
          <w:lang w:val="en-US"/>
        </w:rPr>
        <w:t xml:space="preserve"> </w:t>
      </w:r>
      <w:r w:rsidR="00D265E3" w:rsidRPr="00D265E3">
        <w:rPr>
          <w:sz w:val="22"/>
          <w:szCs w:val="22"/>
          <w:lang w:val="en-US"/>
        </w:rPr>
        <w:t>Authors should ensure that every reference in the text appears in the lis</w:t>
      </w:r>
      <w:r w:rsidR="00D265E3">
        <w:rPr>
          <w:sz w:val="22"/>
          <w:szCs w:val="22"/>
          <w:lang w:val="en-US"/>
        </w:rPr>
        <w:t>t of references and vice versa.</w:t>
      </w:r>
    </w:p>
    <w:p w:rsidR="006E07A5" w:rsidRDefault="006E07A5" w:rsidP="00592069">
      <w:pPr>
        <w:spacing w:before="60" w:after="60"/>
        <w:ind w:left="270" w:hanging="270"/>
        <w:jc w:val="both"/>
        <w:rPr>
          <w:color w:val="0000FF"/>
          <w:sz w:val="22"/>
          <w:szCs w:val="22"/>
        </w:rPr>
      </w:pPr>
    </w:p>
    <w:p w:rsidR="00592069" w:rsidRDefault="00642DEB" w:rsidP="00592069">
      <w:pPr>
        <w:spacing w:before="60" w:after="60"/>
        <w:ind w:left="270" w:hanging="270"/>
        <w:jc w:val="both"/>
        <w:rPr>
          <w:sz w:val="22"/>
          <w:szCs w:val="20"/>
          <w:lang w:val="en-GB"/>
        </w:rPr>
      </w:pPr>
      <w:r>
        <w:rPr>
          <w:sz w:val="22"/>
          <w:szCs w:val="20"/>
          <w:lang w:val="en-GB"/>
        </w:rPr>
        <w:t>Examples of references (books, journals, electronic sources-websites):</w:t>
      </w:r>
    </w:p>
    <w:p w:rsidR="00FB5C42" w:rsidRDefault="00FB5C42" w:rsidP="00642DEB">
      <w:pPr>
        <w:spacing w:before="60" w:after="60"/>
        <w:ind w:left="270" w:hanging="270"/>
        <w:jc w:val="both"/>
        <w:rPr>
          <w:sz w:val="22"/>
          <w:szCs w:val="22"/>
        </w:rPr>
      </w:pPr>
      <w:r w:rsidRPr="00FB5C42">
        <w:rPr>
          <w:sz w:val="22"/>
          <w:szCs w:val="22"/>
        </w:rPr>
        <w:t>Linz, C</w:t>
      </w:r>
      <w:r>
        <w:rPr>
          <w:sz w:val="22"/>
          <w:szCs w:val="22"/>
        </w:rPr>
        <w:t xml:space="preserve">., </w:t>
      </w:r>
      <w:r w:rsidRPr="00FB5C42">
        <w:rPr>
          <w:sz w:val="22"/>
          <w:szCs w:val="22"/>
        </w:rPr>
        <w:t>M</w:t>
      </w:r>
      <w:r>
        <w:rPr>
          <w:sz w:val="22"/>
          <w:szCs w:val="22"/>
        </w:rPr>
        <w:t>u</w:t>
      </w:r>
      <w:r w:rsidRPr="00FB5C42">
        <w:rPr>
          <w:sz w:val="22"/>
          <w:szCs w:val="22"/>
        </w:rPr>
        <w:t xml:space="preserve">ller-Stewens, </w:t>
      </w:r>
      <w:r>
        <w:rPr>
          <w:sz w:val="22"/>
          <w:szCs w:val="22"/>
        </w:rPr>
        <w:t>G. and Zimmermann, A</w:t>
      </w:r>
      <w:r w:rsidRPr="00FB5C42">
        <w:rPr>
          <w:sz w:val="22"/>
          <w:szCs w:val="22"/>
        </w:rPr>
        <w:t>.</w:t>
      </w:r>
      <w:r>
        <w:rPr>
          <w:sz w:val="22"/>
          <w:szCs w:val="22"/>
        </w:rPr>
        <w:t>, 2017</w:t>
      </w:r>
      <w:r w:rsidRPr="00FB5C42">
        <w:rPr>
          <w:sz w:val="22"/>
          <w:szCs w:val="22"/>
        </w:rPr>
        <w:t xml:space="preserve">. </w:t>
      </w:r>
      <w:r w:rsidRPr="00FB5C42">
        <w:rPr>
          <w:i/>
          <w:sz w:val="22"/>
          <w:szCs w:val="22"/>
        </w:rPr>
        <w:t>Radical Business Model Transformation: Gaining the Competitive Edge in a Disruptive World</w:t>
      </w:r>
      <w:r w:rsidRPr="00FB5C42">
        <w:rPr>
          <w:sz w:val="22"/>
          <w:szCs w:val="22"/>
        </w:rPr>
        <w:t>.</w:t>
      </w:r>
      <w:r>
        <w:rPr>
          <w:sz w:val="22"/>
          <w:szCs w:val="22"/>
        </w:rPr>
        <w:t xml:space="preserve"> London: KoganPage.</w:t>
      </w:r>
    </w:p>
    <w:p w:rsidR="00642DEB" w:rsidRPr="00652E9E" w:rsidRDefault="00642DEB" w:rsidP="00642DEB">
      <w:pPr>
        <w:spacing w:before="60" w:after="60"/>
        <w:ind w:left="270" w:hanging="270"/>
        <w:jc w:val="both"/>
        <w:rPr>
          <w:sz w:val="22"/>
          <w:szCs w:val="22"/>
          <w:lang w:val="en-GB"/>
        </w:rPr>
      </w:pPr>
      <w:r w:rsidRPr="00652E9E">
        <w:rPr>
          <w:sz w:val="22"/>
          <w:szCs w:val="22"/>
          <w:lang w:val="en-GB"/>
        </w:rPr>
        <w:t xml:space="preserve">Baron, D. P., 2008. </w:t>
      </w:r>
      <w:r w:rsidRPr="00652E9E">
        <w:rPr>
          <w:i/>
          <w:sz w:val="22"/>
          <w:szCs w:val="22"/>
          <w:lang w:val="en-GB"/>
        </w:rPr>
        <w:t>Business and the organisation</w:t>
      </w:r>
      <w:r w:rsidRPr="00652E9E">
        <w:rPr>
          <w:sz w:val="22"/>
          <w:szCs w:val="22"/>
          <w:lang w:val="en-GB"/>
        </w:rPr>
        <w:t>. Chester: Pearson.</w:t>
      </w:r>
    </w:p>
    <w:p w:rsidR="00FF1033" w:rsidRDefault="00FF1033" w:rsidP="00FF1033">
      <w:pPr>
        <w:spacing w:before="60" w:after="60"/>
        <w:ind w:left="270" w:hanging="270"/>
        <w:jc w:val="both"/>
        <w:rPr>
          <w:bCs/>
          <w:sz w:val="22"/>
          <w:szCs w:val="22"/>
          <w:lang w:val="en-US"/>
        </w:rPr>
      </w:pPr>
      <w:r w:rsidRPr="00FF1033">
        <w:rPr>
          <w:bCs/>
          <w:sz w:val="22"/>
          <w:szCs w:val="22"/>
          <w:lang w:val="en-US"/>
        </w:rPr>
        <w:lastRenderedPageBreak/>
        <w:t xml:space="preserve">Marquardt, K., Olaru, M. and Ceausu, I., 2017. Study on the Development of Quality Measurements Models for Steering Business Services in Relation to Customer Satisfaction. </w:t>
      </w:r>
      <w:r w:rsidRPr="00FF1033">
        <w:rPr>
          <w:bCs/>
          <w:i/>
          <w:sz w:val="22"/>
          <w:szCs w:val="22"/>
          <w:lang w:val="en-US"/>
        </w:rPr>
        <w:t>Amfiteatru Economic</w:t>
      </w:r>
      <w:r>
        <w:rPr>
          <w:bCs/>
          <w:sz w:val="22"/>
          <w:szCs w:val="22"/>
          <w:lang w:val="en-US"/>
        </w:rPr>
        <w:t>, 19(44), pp.</w:t>
      </w:r>
      <w:r w:rsidRPr="00FF1033">
        <w:rPr>
          <w:bCs/>
          <w:sz w:val="22"/>
          <w:szCs w:val="22"/>
          <w:lang w:val="en-US"/>
        </w:rPr>
        <w:t>95-109</w:t>
      </w:r>
      <w:r>
        <w:rPr>
          <w:bCs/>
          <w:sz w:val="22"/>
          <w:szCs w:val="22"/>
          <w:lang w:val="en-US"/>
        </w:rPr>
        <w:t>.</w:t>
      </w:r>
    </w:p>
    <w:p w:rsidR="00920AC9" w:rsidRDefault="00920AC9" w:rsidP="00920AC9">
      <w:pPr>
        <w:spacing w:before="60" w:after="60"/>
        <w:ind w:left="270" w:hanging="270"/>
        <w:jc w:val="both"/>
        <w:rPr>
          <w:sz w:val="22"/>
          <w:szCs w:val="20"/>
          <w:lang w:val="en-GB"/>
        </w:rPr>
      </w:pPr>
      <w:r w:rsidRPr="00FE11B7">
        <w:rPr>
          <w:sz w:val="22"/>
          <w:szCs w:val="20"/>
          <w:lang w:val="en-GB"/>
        </w:rPr>
        <w:t>Mithani,</w:t>
      </w:r>
      <w:r>
        <w:rPr>
          <w:sz w:val="22"/>
          <w:szCs w:val="20"/>
          <w:lang w:val="en-GB"/>
        </w:rPr>
        <w:t xml:space="preserve"> M., 2017. </w:t>
      </w:r>
      <w:r w:rsidRPr="00FE11B7">
        <w:rPr>
          <w:sz w:val="22"/>
          <w:szCs w:val="20"/>
          <w:lang w:val="en-GB"/>
        </w:rPr>
        <w:t>Innovation and CSR — Do They Go Well Together?</w:t>
      </w:r>
      <w:r>
        <w:rPr>
          <w:sz w:val="22"/>
          <w:szCs w:val="20"/>
          <w:lang w:val="en-GB"/>
        </w:rPr>
        <w:t>.</w:t>
      </w:r>
      <w:r w:rsidRPr="00FE11B7">
        <w:rPr>
          <w:sz w:val="22"/>
          <w:szCs w:val="20"/>
          <w:lang w:val="en-GB"/>
        </w:rPr>
        <w:t xml:space="preserve"> </w:t>
      </w:r>
      <w:r w:rsidRPr="00920AC9">
        <w:rPr>
          <w:i/>
          <w:sz w:val="22"/>
          <w:szCs w:val="20"/>
          <w:lang w:val="en-GB"/>
        </w:rPr>
        <w:t>Long Range Planning</w:t>
      </w:r>
      <w:r w:rsidRPr="00FE11B7">
        <w:rPr>
          <w:sz w:val="22"/>
          <w:szCs w:val="20"/>
          <w:lang w:val="en-GB"/>
        </w:rPr>
        <w:t>, 50</w:t>
      </w:r>
      <w:r>
        <w:rPr>
          <w:sz w:val="22"/>
          <w:szCs w:val="20"/>
          <w:lang w:val="en-GB"/>
        </w:rPr>
        <w:t>(6), pp.699-711.</w:t>
      </w:r>
    </w:p>
    <w:p w:rsidR="00592069" w:rsidRDefault="00FF1033" w:rsidP="00592069">
      <w:pPr>
        <w:spacing w:before="60" w:after="60"/>
        <w:ind w:left="270" w:hanging="270"/>
        <w:jc w:val="both"/>
        <w:rPr>
          <w:sz w:val="22"/>
          <w:szCs w:val="20"/>
          <w:lang w:val="en-GB"/>
        </w:rPr>
      </w:pPr>
      <w:r>
        <w:rPr>
          <w:sz w:val="22"/>
          <w:szCs w:val="20"/>
          <w:lang w:val="en-GB"/>
        </w:rPr>
        <w:t>Eurostat</w:t>
      </w:r>
      <w:r w:rsidR="00592069" w:rsidRPr="00592069">
        <w:rPr>
          <w:sz w:val="22"/>
          <w:szCs w:val="20"/>
          <w:lang w:val="en-GB"/>
        </w:rPr>
        <w:t>, 20</w:t>
      </w:r>
      <w:r>
        <w:rPr>
          <w:sz w:val="22"/>
          <w:szCs w:val="20"/>
          <w:lang w:val="en-GB"/>
        </w:rPr>
        <w:t>18</w:t>
      </w:r>
      <w:r w:rsidR="00592069" w:rsidRPr="00592069">
        <w:rPr>
          <w:sz w:val="22"/>
          <w:szCs w:val="20"/>
          <w:lang w:val="en-GB"/>
        </w:rPr>
        <w:t xml:space="preserve">. </w:t>
      </w:r>
      <w:r w:rsidRPr="00FF1033">
        <w:rPr>
          <w:i/>
          <w:sz w:val="22"/>
          <w:szCs w:val="20"/>
          <w:lang w:val="en-GB"/>
        </w:rPr>
        <w:t>Household spending on clothing and footwear close to €400 billion</w:t>
      </w:r>
      <w:r w:rsidR="00592069" w:rsidRPr="00592069">
        <w:rPr>
          <w:sz w:val="22"/>
          <w:szCs w:val="20"/>
          <w:lang w:val="en-GB"/>
        </w:rPr>
        <w:t>. [online] Available at:</w:t>
      </w:r>
      <w:r>
        <w:rPr>
          <w:sz w:val="22"/>
          <w:szCs w:val="20"/>
          <w:lang w:val="en-GB"/>
        </w:rPr>
        <w:t xml:space="preserve"> </w:t>
      </w:r>
      <w:r w:rsidR="00592069" w:rsidRPr="00592069">
        <w:rPr>
          <w:sz w:val="22"/>
          <w:szCs w:val="20"/>
          <w:lang w:val="en-GB"/>
        </w:rPr>
        <w:t>&lt;</w:t>
      </w:r>
      <w:r w:rsidRPr="00FF1033">
        <w:rPr>
          <w:sz w:val="22"/>
          <w:szCs w:val="20"/>
          <w:lang w:val="en-GB"/>
        </w:rPr>
        <w:t>http://ec.europa.eu/eurostat/en/web/products-eurostat-news/-/DDN-201801</w:t>
      </w:r>
      <w:r w:rsidR="00FB5C42">
        <w:rPr>
          <w:sz w:val="22"/>
          <w:szCs w:val="20"/>
          <w:lang w:val="en-GB"/>
        </w:rPr>
        <w:t xml:space="preserve"> </w:t>
      </w:r>
      <w:r w:rsidRPr="00FF1033">
        <w:rPr>
          <w:sz w:val="22"/>
          <w:szCs w:val="20"/>
          <w:lang w:val="en-GB"/>
        </w:rPr>
        <w:t>03-1</w:t>
      </w:r>
      <w:r w:rsidR="00592069" w:rsidRPr="00592069">
        <w:rPr>
          <w:sz w:val="22"/>
          <w:szCs w:val="20"/>
          <w:lang w:val="en-GB"/>
        </w:rPr>
        <w:t xml:space="preserve">&gt; [Accessed </w:t>
      </w:r>
      <w:r w:rsidR="000850D4">
        <w:rPr>
          <w:sz w:val="22"/>
          <w:szCs w:val="20"/>
          <w:lang w:val="en-GB"/>
        </w:rPr>
        <w:t>9</w:t>
      </w:r>
      <w:r w:rsidR="00592069" w:rsidRPr="00592069">
        <w:rPr>
          <w:sz w:val="22"/>
          <w:szCs w:val="20"/>
          <w:lang w:val="en-GB"/>
        </w:rPr>
        <w:t xml:space="preserve"> </w:t>
      </w:r>
      <w:r>
        <w:rPr>
          <w:sz w:val="22"/>
          <w:szCs w:val="20"/>
          <w:lang w:val="en-GB"/>
        </w:rPr>
        <w:t>January</w:t>
      </w:r>
      <w:r w:rsidR="00592069" w:rsidRPr="00592069">
        <w:rPr>
          <w:sz w:val="22"/>
          <w:szCs w:val="20"/>
          <w:lang w:val="en-GB"/>
        </w:rPr>
        <w:t xml:space="preserve"> 20</w:t>
      </w:r>
      <w:r>
        <w:rPr>
          <w:sz w:val="22"/>
          <w:szCs w:val="20"/>
          <w:lang w:val="en-GB"/>
        </w:rPr>
        <w:t>18</w:t>
      </w:r>
      <w:r w:rsidR="00592069" w:rsidRPr="00592069">
        <w:rPr>
          <w:sz w:val="22"/>
          <w:szCs w:val="20"/>
          <w:lang w:val="en-GB"/>
        </w:rPr>
        <w:t>].</w:t>
      </w:r>
    </w:p>
    <w:p w:rsidR="00801842" w:rsidRDefault="00801842">
      <w:pPr>
        <w:jc w:val="both"/>
        <w:rPr>
          <w:sz w:val="20"/>
          <w:szCs w:val="20"/>
          <w:lang w:val="en-US"/>
        </w:rPr>
      </w:pPr>
    </w:p>
    <w:p w:rsidR="00801842" w:rsidRDefault="00801842">
      <w:pPr>
        <w:ind w:firstLine="709"/>
        <w:jc w:val="both"/>
      </w:pPr>
    </w:p>
    <w:sectPr w:rsidR="00801842" w:rsidSect="00AE43BA">
      <w:footnotePr>
        <w:pos w:val="beneathText"/>
      </w:footnotePr>
      <w:pgSz w:w="11905" w:h="16837" w:code="9"/>
      <w:pgMar w:top="1871" w:right="1871" w:bottom="1871" w:left="1871" w:header="720" w:footer="36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5A" w:rsidRDefault="00D5155A">
      <w:r>
        <w:separator/>
      </w:r>
    </w:p>
  </w:endnote>
  <w:endnote w:type="continuationSeparator" w:id="0">
    <w:p w:rsidR="00D5155A" w:rsidRDefault="00D5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5A" w:rsidRDefault="00D5155A">
      <w:r>
        <w:separator/>
      </w:r>
    </w:p>
  </w:footnote>
  <w:footnote w:type="continuationSeparator" w:id="0">
    <w:p w:rsidR="00D5155A" w:rsidRDefault="00D51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1800"/>
        </w:tabs>
        <w:ind w:left="18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9F"/>
    <w:rsid w:val="00042A1D"/>
    <w:rsid w:val="000850D4"/>
    <w:rsid w:val="000D1C9C"/>
    <w:rsid w:val="001265A2"/>
    <w:rsid w:val="00143433"/>
    <w:rsid w:val="001D72A4"/>
    <w:rsid w:val="001E2010"/>
    <w:rsid w:val="001E4CB8"/>
    <w:rsid w:val="00592069"/>
    <w:rsid w:val="00601FA7"/>
    <w:rsid w:val="00621F76"/>
    <w:rsid w:val="00642DEB"/>
    <w:rsid w:val="006C34E4"/>
    <w:rsid w:val="006E07A5"/>
    <w:rsid w:val="007110A7"/>
    <w:rsid w:val="007E693B"/>
    <w:rsid w:val="00801842"/>
    <w:rsid w:val="0082272B"/>
    <w:rsid w:val="0089569B"/>
    <w:rsid w:val="008B36C9"/>
    <w:rsid w:val="00920AC9"/>
    <w:rsid w:val="00A75FE6"/>
    <w:rsid w:val="00AD15E5"/>
    <w:rsid w:val="00AE43BA"/>
    <w:rsid w:val="00BB32A0"/>
    <w:rsid w:val="00BD3772"/>
    <w:rsid w:val="00BF2941"/>
    <w:rsid w:val="00C334F3"/>
    <w:rsid w:val="00C43B39"/>
    <w:rsid w:val="00CB5E3B"/>
    <w:rsid w:val="00CE351E"/>
    <w:rsid w:val="00D265E3"/>
    <w:rsid w:val="00D5155A"/>
    <w:rsid w:val="00D86BCA"/>
    <w:rsid w:val="00DB5B4A"/>
    <w:rsid w:val="00DD4D3A"/>
    <w:rsid w:val="00DF7391"/>
    <w:rsid w:val="00E11418"/>
    <w:rsid w:val="00E55E9F"/>
    <w:rsid w:val="00E66375"/>
    <w:rsid w:val="00ED0FA8"/>
    <w:rsid w:val="00FB5C42"/>
    <w:rsid w:val="00FE11B7"/>
    <w:rsid w:val="00FE1400"/>
    <w:rsid w:val="00FF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801511-F570-45AB-96B4-0DCCED28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ro-RO" w:eastAsia="ar-SA"/>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jc w:val="both"/>
      <w:outlineLvl w:val="1"/>
    </w:pPr>
    <w:rPr>
      <w:b/>
      <w:bCs/>
      <w:sz w:val="20"/>
    </w:rPr>
  </w:style>
  <w:style w:type="paragraph" w:styleId="Heading3">
    <w:name w:val="heading 3"/>
    <w:basedOn w:val="Normal"/>
    <w:next w:val="Normal"/>
    <w:qFormat/>
    <w:pPr>
      <w:keepNext/>
      <w:numPr>
        <w:ilvl w:val="2"/>
        <w:numId w:val="1"/>
      </w:numPr>
      <w:ind w:left="0" w:firstLine="708"/>
      <w:jc w:val="both"/>
      <w:outlineLvl w:val="2"/>
    </w:pPr>
    <w:rPr>
      <w:b/>
      <w:bCs/>
      <w:sz w:val="20"/>
    </w:rPr>
  </w:style>
  <w:style w:type="paragraph" w:styleId="Heading4">
    <w:name w:val="heading 4"/>
    <w:basedOn w:val="Normal"/>
    <w:next w:val="Normal"/>
    <w:qFormat/>
    <w:pPr>
      <w:keepNext/>
      <w:numPr>
        <w:ilvl w:val="3"/>
        <w:numId w:val="1"/>
      </w:numPr>
      <w:ind w:left="0" w:firstLine="709"/>
      <w:jc w:val="center"/>
      <w:outlineLvl w:val="3"/>
    </w:pPr>
    <w:rPr>
      <w:b/>
      <w:sz w:val="20"/>
    </w:rPr>
  </w:style>
  <w:style w:type="paragraph" w:styleId="Heading5">
    <w:name w:val="heading 5"/>
    <w:basedOn w:val="Normal"/>
    <w:next w:val="BodyText"/>
    <w:qFormat/>
    <w:pPr>
      <w:numPr>
        <w:ilvl w:val="4"/>
        <w:numId w:val="1"/>
      </w:numPr>
      <w:spacing w:before="280" w:after="280"/>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i w:val="0"/>
      <w:color w:val="000000"/>
    </w:rPr>
  </w:style>
  <w:style w:type="character" w:customStyle="1" w:styleId="WW8Num11z0">
    <w:name w:val="WW8Num11z0"/>
    <w:rPr>
      <w:color w:val="00000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rPr>
  </w:style>
  <w:style w:type="character" w:styleId="Hyperlink">
    <w:name w:val="Hyperlink"/>
    <w:semiHidden/>
    <w:rPr>
      <w:color w:val="0000FF"/>
      <w:u w:val="single"/>
    </w:rPr>
  </w:style>
  <w:style w:type="character" w:styleId="Emphasis">
    <w:name w:val="Emphasis"/>
    <w:uiPriority w:val="20"/>
    <w:qFormat/>
    <w:rPr>
      <w:i/>
      <w:iCs/>
    </w:rPr>
  </w:style>
  <w:style w:type="character" w:styleId="PageNumber">
    <w:name w:val="page number"/>
    <w:basedOn w:val="DefaultParagraphFont"/>
    <w:semiHidden/>
  </w:style>
  <w:style w:type="character" w:customStyle="1" w:styleId="q1">
    <w:name w:val="q1"/>
    <w:rPr>
      <w:color w:val="550055"/>
    </w:rPr>
  </w:style>
  <w:style w:type="character" w:styleId="Strong">
    <w:name w:val="Strong"/>
    <w:qFormat/>
    <w:rPr>
      <w:b/>
      <w:bCs/>
    </w:rPr>
  </w:style>
  <w:style w:type="character" w:styleId="FollowedHyperlink">
    <w:name w:val="FollowedHyperlink"/>
    <w:semiHidden/>
    <w:rPr>
      <w:color w:val="800080"/>
      <w:u w:val="single"/>
    </w:rPr>
  </w:style>
  <w:style w:type="character" w:customStyle="1" w:styleId="CharChar2">
    <w:name w:val="Char Char2"/>
    <w:rPr>
      <w:sz w:val="24"/>
      <w:szCs w:val="24"/>
      <w:lang w:val="ro-RO" w:eastAsia="ar-SA" w:bidi="ar-SA"/>
    </w:rPr>
  </w:style>
  <w:style w:type="character" w:customStyle="1" w:styleId="CharChar">
    <w:name w:val="Char Char"/>
    <w:rPr>
      <w:sz w:val="28"/>
      <w:lang w:val="en-US" w:eastAsia="ar-SA" w:bidi="ar-SA"/>
    </w:rPr>
  </w:style>
  <w:style w:type="character" w:customStyle="1" w:styleId="FootnoteCharacters">
    <w:name w:val="Footnote Characters"/>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semiHidden/>
    <w:pPr>
      <w:spacing w:before="280" w:after="280"/>
    </w:pPr>
    <w:rPr>
      <w:lang w:val="en-US"/>
    </w:rPr>
  </w:style>
  <w:style w:type="paragraph" w:styleId="BodyText2">
    <w:name w:val="Body Text 2"/>
    <w:basedOn w:val="Normal"/>
    <w:semiHidden/>
    <w:pPr>
      <w:jc w:val="both"/>
    </w:pPr>
    <w:rPr>
      <w:sz w:val="20"/>
      <w:szCs w:val="20"/>
      <w:lang w:val="en-US"/>
    </w:rPr>
  </w:style>
  <w:style w:type="paragraph" w:styleId="BodyTextIndent">
    <w:name w:val="Body Text Indent"/>
    <w:basedOn w:val="Normal"/>
    <w:semiHidden/>
    <w:pPr>
      <w:spacing w:after="120"/>
      <w:ind w:left="360"/>
    </w:pPr>
  </w:style>
  <w:style w:type="paragraph" w:styleId="Footer">
    <w:name w:val="footer"/>
    <w:basedOn w:val="Normal"/>
    <w:semiHidden/>
    <w:pPr>
      <w:tabs>
        <w:tab w:val="center" w:pos="4320"/>
        <w:tab w:val="right" w:pos="8640"/>
      </w:tabs>
      <w:spacing w:before="120"/>
      <w:jc w:val="both"/>
    </w:pPr>
    <w:rPr>
      <w:sz w:val="28"/>
      <w:szCs w:val="20"/>
      <w:lang w:val="en-US"/>
    </w:rPr>
  </w:style>
  <w:style w:type="paragraph" w:styleId="BodyText3">
    <w:name w:val="Body Text 3"/>
    <w:basedOn w:val="Normal"/>
    <w:semiHidden/>
    <w:pPr>
      <w:spacing w:before="120" w:after="120"/>
      <w:jc w:val="center"/>
    </w:pPr>
    <w:rPr>
      <w:b/>
      <w:color w:val="000000"/>
      <w:lang w:val="en-US"/>
    </w:rPr>
  </w:style>
  <w:style w:type="paragraph" w:styleId="Header">
    <w:name w:val="header"/>
    <w:basedOn w:val="Normal"/>
    <w:semiHidden/>
    <w:pPr>
      <w:tabs>
        <w:tab w:val="center" w:pos="4320"/>
        <w:tab w:val="right" w:pos="8640"/>
      </w:tabs>
    </w:pPr>
  </w:style>
  <w:style w:type="paragraph" w:customStyle="1" w:styleId="Caracter">
    <w:name w:val="Caracter"/>
    <w:basedOn w:val="Normal"/>
    <w:pPr>
      <w:spacing w:after="160" w:line="240" w:lineRule="exact"/>
    </w:pPr>
    <w:rPr>
      <w:rFonts w:ascii="Verdana" w:hAnsi="Verdana" w:cs="Verdana"/>
      <w:sz w:val="20"/>
      <w:szCs w:val="20"/>
      <w:lang w:val="en-US"/>
    </w:rPr>
  </w:style>
  <w:style w:type="paragraph" w:styleId="FootnoteText">
    <w:name w:val="footnote text"/>
    <w:basedOn w:val="Normal"/>
    <w:semiHidden/>
    <w:rPr>
      <w:sz w:val="20"/>
      <w:szCs w:val="20"/>
    </w:rPr>
  </w:style>
  <w:style w:type="paragraph" w:customStyle="1" w:styleId="t13">
    <w:name w:val="t13"/>
    <w:basedOn w:val="Normal"/>
    <w:pPr>
      <w:widowControl w:val="0"/>
      <w:autoSpaceDE w:val="0"/>
      <w:spacing w:line="320" w:lineRule="atLeast"/>
    </w:pPr>
    <w:rPr>
      <w:sz w:val="20"/>
      <w:szCs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Drawing">
    <w:name w:val="Drawing"/>
    <w:basedOn w:val="Caption1"/>
  </w:style>
  <w:style w:type="paragraph" w:styleId="BalloonText">
    <w:name w:val="Balloon Text"/>
    <w:basedOn w:val="Normal"/>
    <w:link w:val="BalloonTextChar"/>
    <w:uiPriority w:val="99"/>
    <w:semiHidden/>
    <w:unhideWhenUsed/>
    <w:rsid w:val="00DD4D3A"/>
    <w:rPr>
      <w:rFonts w:ascii="Segoe UI" w:hAnsi="Segoe UI" w:cs="Segoe UI"/>
      <w:sz w:val="18"/>
      <w:szCs w:val="18"/>
    </w:rPr>
  </w:style>
  <w:style w:type="character" w:customStyle="1" w:styleId="BalloonTextChar">
    <w:name w:val="Balloon Text Char"/>
    <w:link w:val="BalloonText"/>
    <w:uiPriority w:val="99"/>
    <w:semiHidden/>
    <w:rsid w:val="00DD4D3A"/>
    <w:rPr>
      <w:rFonts w:ascii="Segoe UI" w:hAnsi="Segoe UI" w:cs="Segoe UI"/>
      <w:sz w:val="18"/>
      <w:szCs w:val="18"/>
      <w:lang w:val="ro-RO" w:eastAsia="ar-SA"/>
    </w:rPr>
  </w:style>
  <w:style w:type="table" w:styleId="TableGrid">
    <w:name w:val="Table Grid"/>
    <w:basedOn w:val="TableNormal"/>
    <w:uiPriority w:val="59"/>
    <w:rsid w:val="00DF7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7391"/>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FF1033"/>
    <w:rPr>
      <w:sz w:val="16"/>
      <w:szCs w:val="16"/>
    </w:rPr>
  </w:style>
  <w:style w:type="paragraph" w:styleId="CommentText">
    <w:name w:val="annotation text"/>
    <w:basedOn w:val="Normal"/>
    <w:link w:val="CommentTextChar"/>
    <w:uiPriority w:val="99"/>
    <w:semiHidden/>
    <w:unhideWhenUsed/>
    <w:rsid w:val="00FF1033"/>
    <w:rPr>
      <w:sz w:val="20"/>
      <w:szCs w:val="20"/>
    </w:rPr>
  </w:style>
  <w:style w:type="character" w:customStyle="1" w:styleId="CommentTextChar">
    <w:name w:val="Comment Text Char"/>
    <w:basedOn w:val="DefaultParagraphFont"/>
    <w:link w:val="CommentText"/>
    <w:uiPriority w:val="99"/>
    <w:semiHidden/>
    <w:rsid w:val="00FF1033"/>
    <w:rPr>
      <w:lang w:val="ro-RO" w:eastAsia="ar-SA"/>
    </w:rPr>
  </w:style>
  <w:style w:type="paragraph" w:styleId="CommentSubject">
    <w:name w:val="annotation subject"/>
    <w:basedOn w:val="CommentText"/>
    <w:next w:val="CommentText"/>
    <w:link w:val="CommentSubjectChar"/>
    <w:uiPriority w:val="99"/>
    <w:semiHidden/>
    <w:unhideWhenUsed/>
    <w:rsid w:val="00FF1033"/>
    <w:rPr>
      <w:b/>
      <w:bCs/>
    </w:rPr>
  </w:style>
  <w:style w:type="character" w:customStyle="1" w:styleId="CommentSubjectChar">
    <w:name w:val="Comment Subject Char"/>
    <w:basedOn w:val="CommentTextChar"/>
    <w:link w:val="CommentSubject"/>
    <w:uiPriority w:val="99"/>
    <w:semiHidden/>
    <w:rsid w:val="00FF1033"/>
    <w:rPr>
      <w:b/>
      <w:bCs/>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eaweb.org/journal/jel_class_syste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web.anglia.ac.uk/referencing/harva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930</Words>
  <Characters>5303</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BASIQ 2018</vt:lpstr>
      <vt:lpstr>ANALYSIS OF QUALITY MANAGEMENT SERVICES INDUSTRY IN MATERIALS BY METHOD BCG DOT-MATRIX</vt:lpstr>
    </vt:vector>
  </TitlesOfParts>
  <Company/>
  <LinksUpToDate>false</LinksUpToDate>
  <CharactersWithSpaces>6221</CharactersWithSpaces>
  <SharedDoc>false</SharedDoc>
  <HLinks>
    <vt:vector size="12" baseType="variant">
      <vt:variant>
        <vt:i4>3473525</vt:i4>
      </vt:variant>
      <vt:variant>
        <vt:i4>3</vt:i4>
      </vt:variant>
      <vt:variant>
        <vt:i4>0</vt:i4>
      </vt:variant>
      <vt:variant>
        <vt:i4>5</vt:i4>
      </vt:variant>
      <vt:variant>
        <vt:lpwstr>http://libweb.anglia.ac.uk/referencing/harvard.htm</vt:lpwstr>
      </vt:variant>
      <vt:variant>
        <vt:lpwstr/>
      </vt:variant>
      <vt:variant>
        <vt:i4>7405693</vt:i4>
      </vt:variant>
      <vt:variant>
        <vt:i4>0</vt:i4>
      </vt:variant>
      <vt:variant>
        <vt:i4>0</vt:i4>
      </vt:variant>
      <vt:variant>
        <vt:i4>5</vt:i4>
      </vt:variant>
      <vt:variant>
        <vt:lpwstr>http://www.aeaweb.org/journal/jel_class_system.html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BASIQ 2018</dc:title>
  <dc:subject/>
  <cp:keywords/>
  <cp:lastModifiedBy>Robert</cp:lastModifiedBy>
  <cp:revision>13</cp:revision>
  <cp:lastPrinted>1899-12-31T22:00:00Z</cp:lastPrinted>
  <dcterms:created xsi:type="dcterms:W3CDTF">2018-01-10T11:04:00Z</dcterms:created>
  <dcterms:modified xsi:type="dcterms:W3CDTF">2018-01-16T09:18:00Z</dcterms:modified>
</cp:coreProperties>
</file>